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4"/>
              <w:keepNext w:val="0"/>
              <w:keepLines w:val="0"/>
              <w:framePr w:wrap="notBeside" w:vAnchor="page" w:hAnchor="page" w:x="1372" w:y="568"/>
              <w:suppressLineNumbers w:val="0"/>
              <w:tabs>
                <w:tab w:val="clear" w:pos="4153"/>
                <w:tab w:val="clear" w:pos="8306"/>
              </w:tabs>
              <w:spacing w:before="0" w:beforeAutospacing="0" w:afterAutospacing="0" w:line="240" w:lineRule="auto"/>
              <w:ind w:left="0" w:right="0"/>
              <w:jc w:val="left"/>
              <w:rPr>
                <w:rFonts w:hint="eastAsia" w:ascii="黑体" w:hAnsi="黑体" w:eastAsia="黑体"/>
                <w:color w:val="auto"/>
                <w:sz w:val="21"/>
                <w:szCs w:val="21"/>
                <w:highlight w:val="none"/>
              </w:rPr>
            </w:pPr>
            <w:r>
              <w:rPr>
                <w:rFonts w:hint="eastAsia" w:ascii="Times New Roman" w:hAnsi="Times New Roman" w:eastAsia="黑体"/>
                <w:color w:val="auto"/>
                <w:sz w:val="21"/>
                <w:szCs w:val="21"/>
                <w:highlight w:val="none"/>
              </w:rPr>
              <w:t>ICS</w:t>
            </w:r>
            <w:r>
              <w:rPr>
                <w:rFonts w:hint="eastAsia" w:ascii="黑体" w:hAnsi="黑体" w:eastAsia="黑体"/>
                <w:color w:val="auto"/>
                <w:sz w:val="21"/>
                <w:szCs w:val="21"/>
                <w:highlight w:val="none"/>
              </w:rPr>
              <w:t xml:space="preserve">  </w:t>
            </w:r>
          </w:p>
        </w:tc>
        <w:tc>
          <w:tcPr>
            <w:tcW w:w="8855" w:type="dxa"/>
          </w:tcPr>
          <w:p>
            <w:pPr>
              <w:pStyle w:val="4"/>
              <w:keepNext w:val="0"/>
              <w:keepLines w:val="0"/>
              <w:framePr w:wrap="notBeside" w:vAnchor="page" w:hAnchor="page" w:x="1372" w:y="568"/>
              <w:suppressLineNumbers w:val="0"/>
              <w:tabs>
                <w:tab w:val="clear" w:pos="4153"/>
                <w:tab w:val="clear" w:pos="8306"/>
              </w:tabs>
              <w:spacing w:before="0" w:beforeAutospacing="0" w:afterAutospacing="0" w:line="240" w:lineRule="auto"/>
              <w:ind w:left="0" w:right="0"/>
              <w:jc w:val="both"/>
              <w:rPr>
                <w:rFonts w:hint="eastAsia" w:ascii="黑体" w:hAnsi="黑体" w:eastAsia="黑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4"/>
              <w:keepNext w:val="0"/>
              <w:keepLines w:val="0"/>
              <w:framePr w:wrap="notBeside" w:vAnchor="page" w:hAnchor="page" w:x="1372" w:y="568"/>
              <w:suppressLineNumbers w:val="0"/>
              <w:tabs>
                <w:tab w:val="clear" w:pos="4153"/>
                <w:tab w:val="clear" w:pos="8306"/>
              </w:tabs>
              <w:spacing w:before="40" w:beforeAutospacing="0" w:afterAutospacing="0" w:line="240" w:lineRule="auto"/>
              <w:ind w:left="0" w:right="0"/>
              <w:jc w:val="left"/>
              <w:rPr>
                <w:rFonts w:hint="eastAsia" w:ascii="黑体" w:hAnsi="黑体" w:eastAsia="黑体"/>
                <w:color w:val="auto"/>
                <w:sz w:val="21"/>
                <w:szCs w:val="21"/>
                <w:highlight w:val="none"/>
              </w:rPr>
            </w:pPr>
            <w:r>
              <w:rPr>
                <w:rFonts w:hint="eastAsia" w:ascii="Times New Roman" w:hAnsi="Times New Roman" w:eastAsia="黑体"/>
                <w:color w:val="auto"/>
                <w:sz w:val="21"/>
                <w:szCs w:val="21"/>
                <w:highlight w:val="none"/>
              </w:rPr>
              <w:t xml:space="preserve">CCS </w:t>
            </w:r>
            <w:r>
              <w:rPr>
                <w:rFonts w:hint="eastAsia" w:ascii="黑体" w:hAnsi="黑体" w:eastAsia="黑体"/>
                <w:color w:val="auto"/>
                <w:sz w:val="21"/>
                <w:szCs w:val="21"/>
                <w:highlight w:val="none"/>
              </w:rPr>
              <w:t xml:space="preserve"> </w:t>
            </w:r>
          </w:p>
        </w:tc>
        <w:tc>
          <w:tcPr>
            <w:tcW w:w="8855" w:type="dxa"/>
          </w:tcPr>
          <w:p>
            <w:pPr>
              <w:pStyle w:val="4"/>
              <w:keepNext w:val="0"/>
              <w:keepLines w:val="0"/>
              <w:framePr w:wrap="notBeside" w:vAnchor="page" w:hAnchor="page" w:x="1372" w:y="568"/>
              <w:suppressLineNumbers w:val="0"/>
              <w:tabs>
                <w:tab w:val="clear" w:pos="4153"/>
                <w:tab w:val="clear" w:pos="8306"/>
              </w:tabs>
              <w:spacing w:before="40" w:beforeAutospacing="0" w:afterAutospacing="0" w:line="240" w:lineRule="auto"/>
              <w:ind w:left="0" w:right="0"/>
              <w:jc w:val="left"/>
              <w:rPr>
                <w:rFonts w:hint="eastAsia" w:ascii="黑体" w:hAnsi="黑体" w:eastAsia="黑体"/>
                <w:color w:val="auto"/>
                <w:sz w:val="21"/>
                <w:szCs w:val="21"/>
                <w:highlight w:val="none"/>
              </w:rPr>
            </w:pPr>
          </w:p>
        </w:tc>
      </w:tr>
    </w:tbl>
    <w:p>
      <w:pPr>
        <w:pStyle w:val="13"/>
        <w:framePr w:w="9639" w:h="624" w:hRule="exact" w:hSpace="181" w:vSpace="181" w:hAnchor="page" w:x="1329" w:y="2269"/>
        <w:rPr>
          <w:rFonts w:ascii="黑体" w:hAnsi="黑体" w:eastAsia="黑体"/>
          <w:b w:val="0"/>
          <w:bCs w:val="0"/>
          <w:color w:val="auto"/>
          <w:w w:val="100"/>
          <w:sz w:val="48"/>
          <w:szCs w:val="48"/>
          <w:highlight w:val="none"/>
        </w:rPr>
      </w:pPr>
      <w:bookmarkStart w:id="0" w:name="_Hlk26473981"/>
      <w:r>
        <w:rPr>
          <w:rFonts w:hint="eastAsia" w:ascii="黑体" w:hAnsi="黑体" w:eastAsia="黑体"/>
          <w:b w:val="0"/>
          <w:bCs w:val="0"/>
          <w:color w:val="auto"/>
          <w:w w:val="100"/>
          <w:sz w:val="48"/>
          <w:szCs w:val="48"/>
          <w:highlight w:val="none"/>
        </w:rPr>
        <w:t>中华人民共和国</w:t>
      </w:r>
      <w:r>
        <w:rPr>
          <w:rFonts w:ascii="黑体" w:eastAsia="黑体"/>
          <w:b w:val="0"/>
          <w:bCs w:val="0"/>
          <w:color w:val="auto"/>
          <w:w w:val="100"/>
          <w:sz w:val="48"/>
          <w:highlight w:val="none"/>
        </w:rPr>
        <w:fldChar w:fldCharType="begin">
          <w:ffData>
            <w:name w:val="c2"/>
            <w:enabled/>
            <w:calcOnExit w:val="0"/>
            <w:textInput/>
          </w:ffData>
        </w:fldChar>
      </w:r>
      <w:bookmarkStart w:id="1" w:name="c2"/>
      <w:r>
        <w:rPr>
          <w:rFonts w:ascii="黑体" w:eastAsia="黑体"/>
          <w:b w:val="0"/>
          <w:bCs w:val="0"/>
          <w:color w:val="auto"/>
          <w:w w:val="100"/>
          <w:sz w:val="48"/>
          <w:highlight w:val="none"/>
        </w:rPr>
        <w:instrText xml:space="preserve"> FORMTEXT </w:instrText>
      </w:r>
      <w:r>
        <w:rPr>
          <w:rFonts w:ascii="黑体" w:eastAsia="黑体"/>
          <w:b w:val="0"/>
          <w:bCs w:val="0"/>
          <w:color w:val="auto"/>
          <w:w w:val="100"/>
          <w:sz w:val="48"/>
          <w:highlight w:val="none"/>
        </w:rPr>
        <w:fldChar w:fldCharType="separate"/>
      </w:r>
      <w:r>
        <w:rPr>
          <w:rFonts w:hint="eastAsia" w:ascii="黑体" w:eastAsia="黑体"/>
          <w:b w:val="0"/>
          <w:bCs w:val="0"/>
          <w:color w:val="auto"/>
          <w:w w:val="100"/>
          <w:sz w:val="48"/>
          <w:highlight w:val="none"/>
        </w:rPr>
        <w:t>档案</w:t>
      </w:r>
      <w:r>
        <w:rPr>
          <w:rFonts w:ascii="黑体" w:eastAsia="黑体"/>
          <w:b w:val="0"/>
          <w:bCs w:val="0"/>
          <w:color w:val="auto"/>
          <w:w w:val="100"/>
          <w:sz w:val="48"/>
          <w:highlight w:val="none"/>
        </w:rPr>
        <w:fldChar w:fldCharType="end"/>
      </w:r>
      <w:bookmarkEnd w:id="1"/>
      <w:r>
        <w:rPr>
          <w:rFonts w:hint="eastAsia" w:ascii="黑体" w:hAnsi="黑体" w:eastAsia="黑体"/>
          <w:b w:val="0"/>
          <w:bCs w:val="0"/>
          <w:color w:val="auto"/>
          <w:w w:val="100"/>
          <w:sz w:val="48"/>
          <w:szCs w:val="48"/>
          <w:highlight w:val="none"/>
        </w:rPr>
        <w:t>行业标准</w:t>
      </w:r>
    </w:p>
    <w:bookmarkEnd w:id="0"/>
    <w:p>
      <w:pPr>
        <w:pStyle w:val="14"/>
        <w:rPr>
          <w:color w:val="auto"/>
          <w:highlight w:val="none"/>
        </w:rPr>
      </w:pPr>
      <w:r>
        <w:rPr>
          <w:color w:val="auto"/>
          <w:highlight w:val="none"/>
        </w:rPr>
        <w:fldChar w:fldCharType="begin">
          <w:ffData>
            <w:name w:val="文字1"/>
            <w:enabled/>
            <w:calcOnExit w:val="0"/>
            <w:textInput>
              <w:default w:val="GB "/>
            </w:textInput>
          </w:ffData>
        </w:fldChar>
      </w:r>
      <w:bookmarkStart w:id="2" w:name="文字1"/>
      <w:r>
        <w:rPr>
          <w:color w:val="auto"/>
          <w:highlight w:val="none"/>
        </w:rPr>
        <w:instrText xml:space="preserve"> FORMTEXT </w:instrText>
      </w:r>
      <w:r>
        <w:rPr>
          <w:color w:val="auto"/>
          <w:highlight w:val="none"/>
        </w:rPr>
        <w:fldChar w:fldCharType="separate"/>
      </w:r>
      <w:r>
        <w:rPr>
          <w:color w:val="auto"/>
          <w:highlight w:val="none"/>
        </w:rPr>
        <w:t xml:space="preserve">DA/T </w:t>
      </w:r>
      <w:r>
        <w:rPr>
          <w:color w:val="auto"/>
          <w:highlight w:val="none"/>
        </w:rPr>
        <w:fldChar w:fldCharType="end"/>
      </w:r>
      <w:bookmarkEnd w:id="2"/>
      <w:r>
        <w:rPr>
          <w:color w:val="auto"/>
          <w:highlight w:val="none"/>
        </w:rPr>
        <w:fldChar w:fldCharType="begin">
          <w:ffData>
            <w:name w:val="NSTD_CODE_F"/>
            <w:enabled/>
            <w:calcOnExit w:val="0"/>
            <w:textInput>
              <w:default w:val="XXXXX"/>
            </w:textInput>
          </w:ffData>
        </w:fldChar>
      </w:r>
      <w:bookmarkStart w:id="3" w:name="NSTD_CODE_F"/>
      <w:r>
        <w:rPr>
          <w:color w:val="auto"/>
          <w:highlight w:val="none"/>
        </w:rPr>
        <w:instrText xml:space="preserve"> FORMTEXT </w:instrText>
      </w:r>
      <w:r>
        <w:rPr>
          <w:color w:val="auto"/>
          <w:highlight w:val="none"/>
        </w:rPr>
        <w:fldChar w:fldCharType="separate"/>
      </w:r>
      <w:r>
        <w:rPr>
          <w:color w:val="auto"/>
          <w:highlight w:val="none"/>
        </w:rPr>
        <w:t>XXXXX</w:t>
      </w:r>
      <w:r>
        <w:rPr>
          <w:color w:val="auto"/>
          <w:highlight w:val="none"/>
        </w:rPr>
        <w:fldChar w:fldCharType="end"/>
      </w:r>
      <w:bookmarkEnd w:id="3"/>
      <w:r>
        <w:rPr>
          <w:rFonts w:hAnsi="黑体"/>
          <w:color w:val="auto"/>
          <w:highlight w:val="none"/>
        </w:rPr>
        <w:t>—</w:t>
      </w:r>
      <w:r>
        <w:rPr>
          <w:color w:val="auto"/>
          <w:highlight w:val="none"/>
        </w:rPr>
        <w:fldChar w:fldCharType="begin">
          <w:ffData>
            <w:name w:val="NSTD_CODE_B"/>
            <w:enabled/>
            <w:calcOnExit w:val="0"/>
            <w:textInput>
              <w:default w:val="XXXX"/>
            </w:textInput>
          </w:ffData>
        </w:fldChar>
      </w:r>
      <w:bookmarkStart w:id="4" w:name="NSTD_CODE_B"/>
      <w:r>
        <w:rPr>
          <w:color w:val="auto"/>
          <w:highlight w:val="none"/>
        </w:rPr>
        <w:instrText xml:space="preserve"> FORMTEXT </w:instrText>
      </w:r>
      <w:r>
        <w:rPr>
          <w:color w:val="auto"/>
          <w:highlight w:val="none"/>
        </w:rPr>
        <w:fldChar w:fldCharType="separate"/>
      </w:r>
      <w:r>
        <w:rPr>
          <w:color w:val="auto"/>
          <w:highlight w:val="none"/>
        </w:rPr>
        <w:t>XXXX</w:t>
      </w:r>
      <w:r>
        <w:rPr>
          <w:color w:val="auto"/>
          <w:highlight w:val="none"/>
        </w:rPr>
        <w:fldChar w:fldCharType="end"/>
      </w:r>
      <w:bookmarkEnd w:id="4"/>
    </w:p>
    <w:p>
      <w:pPr>
        <w:pStyle w:val="16"/>
        <w:rPr>
          <w:rFonts w:hAnsi="黑体"/>
          <w:color w:val="auto"/>
          <w:highlight w:val="none"/>
        </w:rPr>
      </w:pPr>
      <w:r>
        <w:rPr>
          <w:rFonts w:hAnsi="黑体"/>
          <w:color w:val="auto"/>
          <w:highlight w:val="none"/>
        </w:rPr>
        <w:fldChar w:fldCharType="begin">
          <w:ffData>
            <w:name w:val="OSTD_CODE"/>
            <w:enabled/>
            <w:calcOnExit w:val="0"/>
            <w:textInput/>
          </w:ffData>
        </w:fldChar>
      </w:r>
      <w:bookmarkStart w:id="5" w:name="OSTD_CODE"/>
      <w:r>
        <w:rPr>
          <w:rFonts w:hAnsi="黑体"/>
          <w:color w:val="auto"/>
          <w:highlight w:val="none"/>
        </w:rPr>
        <w:instrText xml:space="preserve"> FORMTEXT </w:instrText>
      </w:r>
      <w:r>
        <w:rPr>
          <w:rFonts w:hAnsi="黑体"/>
          <w:color w:val="auto"/>
          <w:highlight w:val="none"/>
        </w:rPr>
        <w:fldChar w:fldCharType="separate"/>
      </w:r>
      <w:r>
        <w:rPr>
          <w:rFonts w:hAnsi="黑体"/>
          <w:color w:val="auto"/>
          <w:highlight w:val="none"/>
        </w:rPr>
        <w:t>     </w:t>
      </w:r>
      <w:r>
        <w:rPr>
          <w:rFonts w:hAnsi="黑体"/>
          <w:color w:val="auto"/>
          <w:highlight w:val="none"/>
        </w:rPr>
        <w:fldChar w:fldCharType="end"/>
      </w:r>
      <w:bookmarkEnd w:id="5"/>
    </w:p>
    <w:p>
      <w:pPr>
        <w:pStyle w:val="17"/>
        <w:framePr w:w="0" w:hRule="auto" w:x="7089" w:y="398"/>
        <w:ind w:firstLine="420"/>
        <w:rPr>
          <w:color w:val="auto"/>
          <w:highlight w:val="none"/>
        </w:rPr>
      </w:pPr>
      <w:r>
        <w:rPr>
          <w:color w:val="auto"/>
          <w:highlight w:val="none"/>
        </w:rPr>
        <w:fldChar w:fldCharType="begin">
          <w:ffData>
            <w:name w:val="c1"/>
            <w:enabled/>
            <w:calcOnExit w:val="0"/>
            <w:textInput>
              <w:maxLength w:val="2"/>
            </w:textInput>
          </w:ffData>
        </w:fldChar>
      </w:r>
      <w:bookmarkStart w:id="6" w:name="c1"/>
      <w:r>
        <w:rPr>
          <w:color w:val="auto"/>
          <w:highlight w:val="none"/>
        </w:rPr>
        <w:instrText xml:space="preserve"> FORMTEXT </w:instrText>
      </w:r>
      <w:r>
        <w:rPr>
          <w:color w:val="auto"/>
          <w:highlight w:val="none"/>
        </w:rPr>
        <w:fldChar w:fldCharType="separate"/>
      </w:r>
      <w:r>
        <w:rPr>
          <w:color w:val="auto"/>
          <w:highlight w:val="none"/>
        </w:rPr>
        <w:t>DA</w:t>
      </w:r>
      <w:r>
        <w:rPr>
          <w:color w:val="auto"/>
          <w:highlight w:val="none"/>
        </w:rPr>
        <w:fldChar w:fldCharType="end"/>
      </w:r>
      <w:bookmarkEnd w:id="6"/>
    </w:p>
    <w:p>
      <w:pPr>
        <w:spacing w:line="240" w:lineRule="auto"/>
        <w:rPr>
          <w:rFonts w:ascii="黑体" w:hAnsi="黑体" w:eastAsia="黑体"/>
          <w:color w:val="auto"/>
          <w:kern w:val="0"/>
          <w:sz w:val="10"/>
          <w:szCs w:val="10"/>
          <w:highlight w:val="none"/>
        </w:rPr>
      </w:pPr>
      <w:r>
        <w:rPr>
          <w:rFonts w:ascii="黑体" w:hAnsi="黑体" w:eastAsia="黑体"/>
          <w:color w:val="auto"/>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13"/>
        <w:framePr w:w="9639" w:h="6976" w:hRule="exact" w:hSpace="0" w:vSpace="0" w:hAnchor="page" w:y="6408"/>
        <w:jc w:val="center"/>
        <w:rPr>
          <w:rFonts w:ascii="黑体" w:hAnsi="黑体" w:eastAsia="黑体"/>
          <w:b w:val="0"/>
          <w:bCs w:val="0"/>
          <w:color w:val="auto"/>
          <w:w w:val="100"/>
          <w:highlight w:val="none"/>
        </w:rPr>
      </w:pPr>
    </w:p>
    <w:p>
      <w:pPr>
        <w:pStyle w:val="18"/>
        <w:framePr w:h="6974" w:hRule="exact" w:x="1419" w:anchorLock="1"/>
        <w:rPr>
          <w:color w:val="auto"/>
          <w:highlight w:val="none"/>
        </w:rPr>
      </w:pPr>
      <w:r>
        <w:rPr>
          <w:rFonts w:hint="eastAsia"/>
          <w:color w:val="auto"/>
          <w:highlight w:val="none"/>
        </w:rPr>
        <w:t>国家</w:t>
      </w:r>
      <w:r>
        <w:rPr>
          <w:rFonts w:hint="eastAsia"/>
          <w:color w:val="auto"/>
          <w:highlight w:val="none"/>
          <w:lang w:val="en-US" w:eastAsia="zh-CN"/>
        </w:rPr>
        <w:t>珍贵</w:t>
      </w:r>
      <w:r>
        <w:rPr>
          <w:rFonts w:hint="eastAsia"/>
          <w:color w:val="auto"/>
          <w:highlight w:val="none"/>
        </w:rPr>
        <w:t>档案收藏盒防灾与环保功能要求</w:t>
      </w:r>
    </w:p>
    <w:p>
      <w:pPr>
        <w:framePr w:w="9639" w:h="6974" w:hRule="exact" w:wrap="around" w:vAnchor="page" w:hAnchor="page" w:x="1419" w:y="6408" w:anchorLock="1"/>
        <w:ind w:left="-1418"/>
        <w:rPr>
          <w:color w:val="auto"/>
          <w:highlight w:val="none"/>
        </w:rPr>
      </w:pPr>
    </w:p>
    <w:p>
      <w:pPr>
        <w:pStyle w:val="19"/>
        <w:framePr w:w="9639" w:h="6974" w:hRule="exact" w:wrap="around" w:vAnchor="page" w:hAnchor="page" w:x="1419" w:y="6408" w:anchorLock="1"/>
        <w:textAlignment w:val="bottom"/>
        <w:rPr>
          <w:rFonts w:eastAsia="黑体"/>
          <w:color w:val="auto"/>
          <w:szCs w:val="28"/>
          <w:highlight w:val="none"/>
        </w:rPr>
      </w:pPr>
      <w:r>
        <w:rPr>
          <w:rFonts w:hint="eastAsia" w:eastAsia="黑体"/>
          <w:color w:val="auto"/>
          <w:szCs w:val="28"/>
          <w:highlight w:val="none"/>
        </w:rPr>
        <w:t>National Key Archives Collection Box Requirements for Disaster Prevention and Environmental Protection Functions</w:t>
      </w:r>
    </w:p>
    <w:p>
      <w:pPr>
        <w:framePr w:w="9639" w:h="6974" w:hRule="exact" w:wrap="around" w:vAnchor="page" w:hAnchor="page" w:x="1419" w:y="6408" w:anchorLock="1"/>
        <w:spacing w:line="760" w:lineRule="exact"/>
        <w:ind w:left="-1418"/>
        <w:rPr>
          <w:color w:val="auto"/>
          <w:highlight w:val="none"/>
        </w:rPr>
      </w:pPr>
    </w:p>
    <w:p>
      <w:pPr>
        <w:pStyle w:val="19"/>
        <w:framePr w:w="9639" w:h="6974" w:hRule="exact" w:wrap="around" w:vAnchor="page" w:hAnchor="page" w:x="1419" w:y="6408" w:anchorLock="1"/>
        <w:spacing w:before="440" w:after="160"/>
        <w:textAlignment w:val="bottom"/>
        <w:rPr>
          <w:color w:val="auto"/>
          <w:sz w:val="24"/>
          <w:szCs w:val="28"/>
          <w:highlight w:val="none"/>
        </w:rPr>
      </w:pPr>
      <w:r>
        <w:rPr>
          <w:color w:val="auto"/>
          <w:sz w:val="24"/>
          <w:szCs w:val="28"/>
          <w:highlight w:val="none"/>
        </w:rPr>
        <w:t>（</w:t>
      </w:r>
      <w:r>
        <w:rPr>
          <w:rFonts w:hint="eastAsia"/>
          <w:color w:val="auto"/>
          <w:sz w:val="24"/>
          <w:szCs w:val="28"/>
          <w:highlight w:val="none"/>
          <w:lang w:eastAsia="zh-CN"/>
        </w:rPr>
        <w:t>征求意见</w:t>
      </w:r>
      <w:r>
        <w:rPr>
          <w:color w:val="auto"/>
          <w:sz w:val="24"/>
          <w:szCs w:val="28"/>
          <w:highlight w:val="none"/>
        </w:rPr>
        <w:t>稿）</w:t>
      </w:r>
    </w:p>
    <w:p>
      <w:pPr>
        <w:pStyle w:val="19"/>
        <w:framePr w:w="9639" w:h="6974" w:hRule="exact" w:wrap="around" w:vAnchor="page" w:hAnchor="page" w:x="1419" w:y="6408" w:anchorLock="1"/>
        <w:spacing w:before="180" w:line="240" w:lineRule="atLeast"/>
        <w:textAlignment w:val="bottom"/>
        <w:rPr>
          <w:color w:val="auto"/>
          <w:sz w:val="21"/>
          <w:szCs w:val="28"/>
          <w:highlight w:val="none"/>
        </w:rPr>
      </w:pPr>
      <w:r>
        <w:rPr>
          <w:color w:val="auto"/>
          <w:sz w:val="21"/>
          <w:szCs w:val="28"/>
          <w:highlight w:val="none"/>
        </w:rPr>
        <w:fldChar w:fldCharType="begin">
          <w:ffData>
            <w:name w:val="CMPLSH_DATE"/>
            <w:enabled/>
            <w:calcOnExit w:val="0"/>
            <w:textInput/>
          </w:ffData>
        </w:fldChar>
      </w:r>
      <w:bookmarkStart w:id="7" w:name="CMPLSH_DATE"/>
      <w:r>
        <w:rPr>
          <w:color w:val="auto"/>
          <w:sz w:val="21"/>
          <w:szCs w:val="28"/>
          <w:highlight w:val="none"/>
        </w:rPr>
        <w:instrText xml:space="preserve"> FORMTEXT </w:instrText>
      </w:r>
      <w:r>
        <w:rPr>
          <w:color w:val="auto"/>
          <w:sz w:val="21"/>
          <w:szCs w:val="28"/>
          <w:highlight w:val="none"/>
        </w:rPr>
        <w:fldChar w:fldCharType="separate"/>
      </w:r>
      <w:r>
        <w:rPr>
          <w:color w:val="auto"/>
          <w:sz w:val="21"/>
          <w:szCs w:val="28"/>
          <w:highlight w:val="none"/>
        </w:rPr>
        <w:t>     </w:t>
      </w:r>
      <w:r>
        <w:rPr>
          <w:color w:val="auto"/>
          <w:sz w:val="21"/>
          <w:szCs w:val="28"/>
          <w:highlight w:val="none"/>
        </w:rPr>
        <w:fldChar w:fldCharType="end"/>
      </w:r>
      <w:bookmarkEnd w:id="7"/>
    </w:p>
    <w:p>
      <w:pPr>
        <w:pStyle w:val="19"/>
        <w:framePr w:w="9639" w:h="6974" w:hRule="exact" w:wrap="around" w:vAnchor="page" w:hAnchor="page" w:x="1419" w:y="6408" w:anchorLock="1"/>
        <w:spacing w:before="720" w:beforeLines="300" w:after="72" w:afterLines="30" w:line="240" w:lineRule="auto"/>
        <w:textAlignment w:val="bottom"/>
        <w:rPr>
          <w:b/>
          <w:color w:val="auto"/>
          <w:sz w:val="21"/>
          <w:szCs w:val="28"/>
          <w:highlight w:val="none"/>
        </w:rPr>
      </w:pPr>
    </w:p>
    <w:p>
      <w:pPr>
        <w:pStyle w:val="20"/>
        <w:framePr w:y="14176"/>
        <w:rPr>
          <w:color w:val="auto"/>
          <w:highlight w:val="none"/>
        </w:rPr>
      </w:pPr>
      <w:r>
        <w:rPr>
          <w:rFonts w:ascii="黑体"/>
          <w:color w:val="auto"/>
          <w:highlight w:val="none"/>
        </w:rPr>
        <w:fldChar w:fldCharType="begin">
          <w:ffData>
            <w:name w:val="PLSH_DATE_Y"/>
            <w:enabled/>
            <w:calcOnExit w:val="0"/>
            <w:textInput>
              <w:default w:val="XXXX"/>
              <w:maxLength w:val="4"/>
            </w:textInput>
          </w:ffData>
        </w:fldChar>
      </w:r>
      <w:bookmarkStart w:id="8" w:name="PLSH_DATE_Y"/>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XXXX</w:t>
      </w:r>
      <w:r>
        <w:rPr>
          <w:rFonts w:ascii="黑体"/>
          <w:color w:val="auto"/>
          <w:highlight w:val="none"/>
        </w:rPr>
        <w:fldChar w:fldCharType="end"/>
      </w:r>
      <w:bookmarkEnd w:id="8"/>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PLSH_DATE_M"/>
            <w:enabled/>
            <w:calcOnExit w:val="0"/>
            <w:textInput>
              <w:default w:val="XX"/>
              <w:maxLength w:val="2"/>
            </w:textInput>
          </w:ffData>
        </w:fldChar>
      </w:r>
      <w:bookmarkStart w:id="9" w:name="PLSH_DATE_M"/>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9"/>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PLSH_DATE_D"/>
            <w:enabled/>
            <w:calcOnExit w:val="0"/>
            <w:textInput>
              <w:default w:val="XX"/>
              <w:maxLength w:val="2"/>
            </w:textInput>
          </w:ffData>
        </w:fldChar>
      </w:r>
      <w:bookmarkStart w:id="10" w:name="PLSH_DATE_D"/>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0"/>
      <w:r>
        <w:rPr>
          <w:rFonts w:hint="eastAsia"/>
          <w:color w:val="auto"/>
          <w:highlight w:val="none"/>
        </w:rPr>
        <w:t>发布</w:t>
      </w:r>
    </w:p>
    <w:p>
      <w:pPr>
        <w:pStyle w:val="22"/>
        <w:framePr w:x="7063" w:y="14151"/>
        <w:rPr>
          <w:color w:val="auto"/>
          <w:highlight w:val="none"/>
        </w:rPr>
      </w:pPr>
      <w:r>
        <w:rPr>
          <w:rFonts w:ascii="黑体"/>
          <w:color w:val="auto"/>
          <w:highlight w:val="none"/>
        </w:rPr>
        <w:fldChar w:fldCharType="begin">
          <w:ffData>
            <w:name w:val="CROT_DATE_Y"/>
            <w:enabled/>
            <w:calcOnExit w:val="0"/>
            <w:textInput>
              <w:default w:val="XXXX"/>
              <w:maxLength w:val="4"/>
            </w:textInput>
          </w:ffData>
        </w:fldChar>
      </w:r>
      <w:bookmarkStart w:id="11" w:name="CROT_DATE_Y"/>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XXXX</w:t>
      </w:r>
      <w:r>
        <w:rPr>
          <w:rFonts w:ascii="黑体"/>
          <w:color w:val="auto"/>
          <w:highlight w:val="none"/>
        </w:rPr>
        <w:fldChar w:fldCharType="end"/>
      </w:r>
      <w:bookmarkEnd w:id="11"/>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CROT_DATE_M"/>
            <w:enabled/>
            <w:calcOnExit w:val="0"/>
            <w:textInput>
              <w:default w:val="XX"/>
              <w:maxLength w:val="2"/>
            </w:textInput>
          </w:ffData>
        </w:fldChar>
      </w:r>
      <w:bookmarkStart w:id="12" w:name="CROT_DATE_M"/>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2"/>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CROT_DATE_D"/>
            <w:enabled/>
            <w:calcOnExit w:val="0"/>
            <w:textInput>
              <w:default w:val="XX"/>
              <w:maxLength w:val="2"/>
            </w:textInput>
          </w:ffData>
        </w:fldChar>
      </w:r>
      <w:bookmarkStart w:id="13" w:name="CROT_DATE_D"/>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3"/>
      <w:r>
        <w:rPr>
          <w:rFonts w:hint="eastAsia"/>
          <w:color w:val="auto"/>
          <w:highlight w:val="none"/>
        </w:rPr>
        <w:t>实施</w:t>
      </w:r>
    </w:p>
    <w:p>
      <w:pPr>
        <w:pStyle w:val="24"/>
        <w:framePr w:h="584" w:hRule="exact" w:hSpace="181" w:vSpace="181" w:y="15027"/>
        <w:rPr>
          <w:rFonts w:hAnsi="黑体"/>
          <w:color w:val="auto"/>
          <w:highlight w:val="none"/>
        </w:rPr>
      </w:pPr>
      <w:r>
        <w:rPr>
          <w:rFonts w:hint="eastAsia" w:hAnsi="黑体"/>
          <w:color w:val="auto"/>
          <w:w w:val="100"/>
          <w:sz w:val="28"/>
          <w:highlight w:val="none"/>
          <w:lang w:eastAsia="zh-CN"/>
        </w:rPr>
        <w:t>国家档案局</w:t>
      </w:r>
      <w:r>
        <w:rPr>
          <w:rFonts w:ascii="Times New Roman"/>
          <w:color w:val="auto"/>
          <w:w w:val="100"/>
          <w:sz w:val="28"/>
          <w:szCs w:val="28"/>
          <w:highlight w:val="none"/>
        </w:rPr>
        <w:t>  </w:t>
      </w:r>
      <w:r>
        <w:rPr>
          <w:rStyle w:val="26"/>
          <w:rFonts w:hint="eastAsia" w:hAnsi="黑体"/>
          <w:color w:val="auto"/>
          <w:position w:val="0"/>
          <w:highlight w:val="none"/>
        </w:rPr>
        <w:t>发</w:t>
      </w:r>
      <w:r>
        <w:rPr>
          <w:rStyle w:val="26"/>
          <w:rFonts w:hint="eastAsia" w:hAnsi="黑体"/>
          <w:color w:val="auto"/>
          <w:spacing w:val="0"/>
          <w:position w:val="0"/>
          <w:highlight w:val="none"/>
        </w:rPr>
        <w:t>布</w:t>
      </w:r>
    </w:p>
    <w:p>
      <w:pPr>
        <w:rPr>
          <w:rFonts w:ascii="宋体" w:hAnsi="宋体"/>
          <w:color w:val="auto"/>
          <w:sz w:val="28"/>
          <w:szCs w:val="28"/>
          <w:highlight w:val="none"/>
        </w:rPr>
        <w:sectPr>
          <w:headerReference r:id="rId6" w:type="first"/>
          <w:footerReference r:id="rId8" w:type="first"/>
          <w:headerReference r:id="rId5" w:type="default"/>
          <w:footerReference r:id="rId7" w:type="even"/>
          <w:pgSz w:w="11906" w:h="16838"/>
          <w:pgMar w:top="-338" w:right="1134" w:bottom="1021" w:left="1134" w:header="0" w:footer="0" w:gutter="284"/>
          <w:cols w:space="425" w:num="1"/>
          <w:titlePg/>
          <w:docGrid w:linePitch="312" w:charSpace="0"/>
        </w:sectPr>
      </w:pPr>
      <w:r>
        <w:rPr>
          <w:rFonts w:hint="eastAsia" w:ascii="宋体" w:hAnsi="宋体"/>
          <w:color w:val="auto"/>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27"/>
        <w:spacing w:after="468"/>
        <w:rPr>
          <w:color w:val="auto"/>
          <w:highlight w:val="none"/>
        </w:rPr>
      </w:pPr>
      <w:bookmarkStart w:id="14" w:name="BookMark1"/>
      <w:r>
        <w:rPr>
          <w:rFonts w:hint="eastAsia"/>
          <w:color w:val="auto"/>
          <w:spacing w:val="320"/>
          <w:highlight w:val="none"/>
        </w:rPr>
        <w:t>目</w:t>
      </w:r>
      <w:r>
        <w:rPr>
          <w:rFonts w:hint="eastAsia"/>
          <w:color w:val="auto"/>
          <w:highlight w:val="none"/>
        </w:rPr>
        <w:t>次</w:t>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TOC \o "1-1" \h \t "标准文件_一级条标题,2,标准文件_附录一级条标题,2," </w:instrText>
      </w:r>
      <w:r>
        <w:rPr>
          <w:color w:val="auto"/>
          <w:highlight w:val="none"/>
        </w:rPr>
        <w:fldChar w:fldCharType="separate"/>
      </w:r>
      <w:r>
        <w:rPr>
          <w:color w:val="auto"/>
          <w:highlight w:val="none"/>
        </w:rPr>
        <w:fldChar w:fldCharType="begin"/>
      </w:r>
      <w:r>
        <w:rPr>
          <w:color w:val="auto"/>
          <w:highlight w:val="none"/>
        </w:rPr>
        <w:instrText xml:space="preserve"> HYPERLINK \l _Toc28145 </w:instrText>
      </w:r>
      <w:r>
        <w:rPr>
          <w:color w:val="auto"/>
          <w:highlight w:val="none"/>
        </w:rPr>
        <w:fldChar w:fldCharType="separate"/>
      </w:r>
      <w:r>
        <w:rPr>
          <w:rFonts w:hint="eastAsia"/>
          <w:color w:val="auto"/>
          <w:highlight w:val="none"/>
          <w:lang w:eastAsia="zh-CN"/>
        </w:rPr>
        <w:t>前言</w:t>
      </w:r>
      <w:r>
        <w:rPr>
          <w:color w:val="auto"/>
          <w:highlight w:val="none"/>
        </w:rPr>
        <w:tab/>
      </w:r>
      <w:r>
        <w:rPr>
          <w:color w:val="auto"/>
          <w:highlight w:val="none"/>
        </w:rPr>
        <w:fldChar w:fldCharType="begin"/>
      </w:r>
      <w:r>
        <w:rPr>
          <w:color w:val="auto"/>
          <w:highlight w:val="none"/>
        </w:rPr>
        <w:instrText xml:space="preserve"> PAGEREF _Toc28145 \h </w:instrText>
      </w:r>
      <w:r>
        <w:rPr>
          <w:color w:val="auto"/>
          <w:highlight w:val="none"/>
        </w:rPr>
        <w:fldChar w:fldCharType="separate"/>
      </w:r>
      <w:r>
        <w:rPr>
          <w:color w:val="auto"/>
          <w:highlight w:val="none"/>
        </w:rPr>
        <w:t>III</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HYPERLINK \l _Toc14035 </w:instrText>
      </w:r>
      <w:r>
        <w:rPr>
          <w:color w:val="auto"/>
          <w:highlight w:val="none"/>
        </w:rPr>
        <w:fldChar w:fldCharType="separate"/>
      </w:r>
      <w:r>
        <w:rPr>
          <w:rFonts w:hint="eastAsia" w:ascii="黑体" w:eastAsia="黑体"/>
          <w:i w:val="0"/>
          <w:strike w:val="0"/>
          <w:color w:val="auto"/>
          <w:highlight w:val="none"/>
          <w:lang w:val="en-US" w:eastAsia="zh-CN"/>
        </w:rPr>
        <w:t xml:space="preserve">1 </w:t>
      </w:r>
      <w:r>
        <w:rPr>
          <w:rFonts w:hint="eastAsia"/>
          <w:color w:val="auto"/>
          <w:highlight w:val="none"/>
          <w:lang w:val="en-US" w:eastAsia="zh-CN"/>
        </w:rPr>
        <w:t>范围</w:t>
      </w:r>
      <w:r>
        <w:rPr>
          <w:color w:val="auto"/>
          <w:highlight w:val="none"/>
        </w:rPr>
        <w:tab/>
      </w:r>
      <w:r>
        <w:rPr>
          <w:color w:val="auto"/>
          <w:highlight w:val="none"/>
        </w:rPr>
        <w:fldChar w:fldCharType="begin"/>
      </w:r>
      <w:r>
        <w:rPr>
          <w:color w:val="auto"/>
          <w:highlight w:val="none"/>
        </w:rPr>
        <w:instrText xml:space="preserve"> PAGEREF _Toc14035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HYPERLINK \l _Toc14860 </w:instrText>
      </w:r>
      <w:r>
        <w:rPr>
          <w:color w:val="auto"/>
          <w:highlight w:val="none"/>
        </w:rPr>
        <w:fldChar w:fldCharType="separate"/>
      </w:r>
      <w:r>
        <w:rPr>
          <w:rFonts w:hint="eastAsia" w:ascii="黑体" w:eastAsia="黑体"/>
          <w:i w:val="0"/>
          <w:strike w:val="0"/>
          <w:color w:val="auto"/>
          <w:highlight w:val="none"/>
          <w:lang w:val="en-US" w:eastAsia="zh-CN"/>
        </w:rPr>
        <w:t xml:space="preserve">2 </w:t>
      </w:r>
      <w:r>
        <w:rPr>
          <w:rFonts w:hint="eastAsia"/>
          <w:color w:val="auto"/>
          <w:highlight w:val="none"/>
          <w:lang w:val="en-US" w:eastAsia="zh-CN"/>
        </w:rPr>
        <w:t>规范性引用文件</w:t>
      </w:r>
      <w:r>
        <w:rPr>
          <w:color w:val="auto"/>
          <w:highlight w:val="none"/>
        </w:rPr>
        <w:tab/>
      </w:r>
      <w:r>
        <w:rPr>
          <w:color w:val="auto"/>
          <w:highlight w:val="none"/>
        </w:rPr>
        <w:fldChar w:fldCharType="begin"/>
      </w:r>
      <w:r>
        <w:rPr>
          <w:color w:val="auto"/>
          <w:highlight w:val="none"/>
        </w:rPr>
        <w:instrText xml:space="preserve"> PAGEREF _Toc14860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HYPERLINK \l _Toc15158 </w:instrText>
      </w:r>
      <w:r>
        <w:rPr>
          <w:color w:val="auto"/>
          <w:highlight w:val="none"/>
        </w:rPr>
        <w:fldChar w:fldCharType="separate"/>
      </w:r>
      <w:r>
        <w:rPr>
          <w:rFonts w:hint="eastAsia" w:ascii="黑体" w:eastAsia="黑体"/>
          <w:i w:val="0"/>
          <w:strike w:val="0"/>
          <w:color w:val="auto"/>
          <w:highlight w:val="none"/>
          <w:lang w:val="en-US" w:eastAsia="zh-CN"/>
        </w:rPr>
        <w:t xml:space="preserve">3 </w:t>
      </w:r>
      <w:r>
        <w:rPr>
          <w:rFonts w:hint="eastAsia"/>
          <w:color w:val="auto"/>
          <w:highlight w:val="none"/>
          <w:lang w:val="en-US" w:eastAsia="zh-CN"/>
        </w:rPr>
        <w:t>术语和定义</w:t>
      </w:r>
      <w:r>
        <w:rPr>
          <w:color w:val="auto"/>
          <w:highlight w:val="none"/>
        </w:rPr>
        <w:tab/>
      </w:r>
      <w:r>
        <w:rPr>
          <w:color w:val="auto"/>
          <w:highlight w:val="none"/>
        </w:rPr>
        <w:fldChar w:fldCharType="begin"/>
      </w:r>
      <w:r>
        <w:rPr>
          <w:color w:val="auto"/>
          <w:highlight w:val="none"/>
        </w:rPr>
        <w:instrText xml:space="preserve"> PAGEREF _Toc15158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HYPERLINK \l _Toc27113 </w:instrText>
      </w:r>
      <w:r>
        <w:rPr>
          <w:color w:val="auto"/>
          <w:highlight w:val="none"/>
        </w:rPr>
        <w:fldChar w:fldCharType="separate"/>
      </w:r>
      <w:r>
        <w:rPr>
          <w:rFonts w:hint="eastAsia" w:ascii="黑体" w:eastAsia="黑体"/>
          <w:i w:val="0"/>
          <w:strike w:val="0"/>
          <w:color w:val="auto"/>
          <w:highlight w:val="none"/>
          <w:lang w:val="en-US" w:eastAsia="zh-CN"/>
        </w:rPr>
        <w:t xml:space="preserve">4 </w:t>
      </w:r>
      <w:r>
        <w:rPr>
          <w:rFonts w:hint="eastAsia"/>
          <w:color w:val="auto"/>
          <w:highlight w:val="none"/>
          <w:lang w:val="en-US" w:eastAsia="zh-CN"/>
        </w:rPr>
        <w:t>国家珍贵档案收藏盒防灾与环保功能要求</w:t>
      </w:r>
      <w:r>
        <w:rPr>
          <w:color w:val="auto"/>
          <w:highlight w:val="none"/>
        </w:rPr>
        <w:tab/>
      </w:r>
      <w:r>
        <w:rPr>
          <w:color w:val="auto"/>
          <w:highlight w:val="none"/>
        </w:rPr>
        <w:fldChar w:fldCharType="begin"/>
      </w:r>
      <w:r>
        <w:rPr>
          <w:color w:val="auto"/>
          <w:highlight w:val="none"/>
        </w:rPr>
        <w:instrText xml:space="preserve"> PAGEREF _Toc27113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HYPERLINK \l _Toc3884 </w:instrText>
      </w:r>
      <w:r>
        <w:rPr>
          <w:color w:val="auto"/>
          <w:highlight w:val="none"/>
        </w:rPr>
        <w:fldChar w:fldCharType="separate"/>
      </w:r>
      <w:r>
        <w:rPr>
          <w:rFonts w:hint="eastAsia" w:ascii="黑体" w:eastAsia="黑体"/>
          <w:i w:val="0"/>
          <w:strike w:val="0"/>
          <w:color w:val="auto"/>
          <w:highlight w:val="none"/>
          <w:lang w:val="en-US" w:eastAsia="zh-CN"/>
        </w:rPr>
        <w:t xml:space="preserve">5 </w:t>
      </w:r>
      <w:r>
        <w:rPr>
          <w:rFonts w:hint="eastAsia"/>
          <w:color w:val="auto"/>
          <w:highlight w:val="none"/>
          <w:lang w:val="en-US" w:eastAsia="zh-CN"/>
        </w:rPr>
        <w:t>档案收藏盒纸板具备阻燃防火功能与测试方法</w:t>
      </w:r>
      <w:r>
        <w:rPr>
          <w:color w:val="auto"/>
          <w:highlight w:val="none"/>
        </w:rPr>
        <w:tab/>
      </w:r>
      <w:r>
        <w:rPr>
          <w:color w:val="auto"/>
          <w:highlight w:val="none"/>
        </w:rPr>
        <w:fldChar w:fldCharType="begin"/>
      </w:r>
      <w:r>
        <w:rPr>
          <w:color w:val="auto"/>
          <w:highlight w:val="none"/>
        </w:rPr>
        <w:instrText xml:space="preserve"> PAGEREF _Toc3884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HYPERLINK \l _Toc29567 </w:instrText>
      </w:r>
      <w:r>
        <w:rPr>
          <w:color w:val="auto"/>
          <w:highlight w:val="none"/>
        </w:rPr>
        <w:fldChar w:fldCharType="separate"/>
      </w:r>
      <w:r>
        <w:rPr>
          <w:rFonts w:hint="eastAsia" w:ascii="黑体" w:eastAsia="黑体"/>
          <w:i w:val="0"/>
          <w:strike w:val="0"/>
          <w:color w:val="auto"/>
          <w:highlight w:val="none"/>
          <w:lang w:val="en-US" w:eastAsia="zh-CN"/>
        </w:rPr>
        <w:t xml:space="preserve">6 </w:t>
      </w:r>
      <w:r>
        <w:rPr>
          <w:rFonts w:hint="eastAsia"/>
          <w:color w:val="auto"/>
          <w:highlight w:val="none"/>
          <w:lang w:val="en-US" w:eastAsia="zh-CN"/>
        </w:rPr>
        <w:t>档案收藏盒具备防虫功能与检验方法</w:t>
      </w:r>
      <w:r>
        <w:rPr>
          <w:color w:val="auto"/>
          <w:highlight w:val="none"/>
        </w:rPr>
        <w:tab/>
      </w:r>
      <w:r>
        <w:rPr>
          <w:color w:val="auto"/>
          <w:highlight w:val="none"/>
        </w:rPr>
        <w:fldChar w:fldCharType="begin"/>
      </w:r>
      <w:r>
        <w:rPr>
          <w:color w:val="auto"/>
          <w:highlight w:val="none"/>
        </w:rPr>
        <w:instrText xml:space="preserve"> PAGEREF _Toc29567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HYPERLINK \l _Toc20900 </w:instrText>
      </w:r>
      <w:r>
        <w:rPr>
          <w:color w:val="auto"/>
          <w:highlight w:val="none"/>
        </w:rPr>
        <w:fldChar w:fldCharType="separate"/>
      </w:r>
      <w:r>
        <w:rPr>
          <w:rFonts w:hint="eastAsia" w:ascii="黑体" w:eastAsia="黑体"/>
          <w:i w:val="0"/>
          <w:strike w:val="0"/>
          <w:color w:val="auto"/>
          <w:highlight w:val="none"/>
          <w:lang w:val="en-US" w:eastAsia="zh-CN"/>
        </w:rPr>
        <w:t xml:space="preserve">7 </w:t>
      </w:r>
      <w:r>
        <w:rPr>
          <w:rFonts w:hint="eastAsia"/>
          <w:color w:val="auto"/>
          <w:highlight w:val="none"/>
          <w:lang w:val="en-US" w:eastAsia="zh-CN"/>
        </w:rPr>
        <w:t>档案收藏盒防霉功能与测试方法</w:t>
      </w:r>
      <w:r>
        <w:rPr>
          <w:color w:val="auto"/>
          <w:highlight w:val="none"/>
        </w:rPr>
        <w:tab/>
      </w:r>
      <w:r>
        <w:rPr>
          <w:color w:val="auto"/>
          <w:highlight w:val="none"/>
        </w:rPr>
        <w:fldChar w:fldCharType="begin"/>
      </w:r>
      <w:r>
        <w:rPr>
          <w:color w:val="auto"/>
          <w:highlight w:val="none"/>
        </w:rPr>
        <w:instrText xml:space="preserve"> PAGEREF _Toc20900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HYPERLINK \l _Toc16263 </w:instrText>
      </w:r>
      <w:r>
        <w:rPr>
          <w:color w:val="auto"/>
          <w:highlight w:val="none"/>
        </w:rPr>
        <w:fldChar w:fldCharType="separate"/>
      </w:r>
      <w:r>
        <w:rPr>
          <w:rFonts w:hint="eastAsia" w:ascii="黑体" w:eastAsia="黑体"/>
          <w:i w:val="0"/>
          <w:strike w:val="0"/>
          <w:color w:val="auto"/>
          <w:highlight w:val="none"/>
          <w:lang w:val="en-US" w:eastAsia="zh-CN"/>
        </w:rPr>
        <w:t xml:space="preserve">8 </w:t>
      </w:r>
      <w:r>
        <w:rPr>
          <w:rFonts w:hint="eastAsia"/>
          <w:color w:val="auto"/>
          <w:highlight w:val="none"/>
          <w:lang w:val="en-US" w:eastAsia="zh-CN"/>
        </w:rPr>
        <w:t>档案收藏盒防酸功能要求与检测方法</w:t>
      </w:r>
      <w:r>
        <w:rPr>
          <w:color w:val="auto"/>
          <w:highlight w:val="none"/>
        </w:rPr>
        <w:tab/>
      </w:r>
      <w:r>
        <w:rPr>
          <w:color w:val="auto"/>
          <w:highlight w:val="none"/>
        </w:rPr>
        <w:fldChar w:fldCharType="begin"/>
      </w:r>
      <w:r>
        <w:rPr>
          <w:color w:val="auto"/>
          <w:highlight w:val="none"/>
        </w:rPr>
        <w:instrText xml:space="preserve"> PAGEREF _Toc16263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HYPERLINK \l _Toc8147 </w:instrText>
      </w:r>
      <w:r>
        <w:rPr>
          <w:color w:val="auto"/>
          <w:highlight w:val="none"/>
        </w:rPr>
        <w:fldChar w:fldCharType="separate"/>
      </w:r>
      <w:r>
        <w:rPr>
          <w:rFonts w:hint="eastAsia" w:ascii="黑体" w:eastAsia="黑体"/>
          <w:i w:val="0"/>
          <w:strike w:val="0"/>
          <w:color w:val="auto"/>
          <w:highlight w:val="none"/>
          <w:lang w:val="en-US" w:eastAsia="zh-CN"/>
        </w:rPr>
        <w:t xml:space="preserve">9 </w:t>
      </w:r>
      <w:r>
        <w:rPr>
          <w:rFonts w:hint="eastAsia"/>
          <w:color w:val="auto"/>
          <w:highlight w:val="none"/>
          <w:lang w:val="en-US" w:eastAsia="zh-CN"/>
        </w:rPr>
        <w:t>档案收藏盒挥发气体质量要求与测试方法</w:t>
      </w:r>
      <w:r>
        <w:rPr>
          <w:color w:val="auto"/>
          <w:highlight w:val="none"/>
        </w:rPr>
        <w:tab/>
      </w:r>
      <w:r>
        <w:rPr>
          <w:color w:val="auto"/>
          <w:highlight w:val="none"/>
        </w:rPr>
        <w:fldChar w:fldCharType="begin"/>
      </w:r>
      <w:r>
        <w:rPr>
          <w:color w:val="auto"/>
          <w:highlight w:val="none"/>
        </w:rPr>
        <w:instrText xml:space="preserve"> PAGEREF _Toc8147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HYPERLINK \l _Toc30789 </w:instrText>
      </w:r>
      <w:r>
        <w:rPr>
          <w:color w:val="auto"/>
          <w:highlight w:val="none"/>
        </w:rPr>
        <w:fldChar w:fldCharType="separate"/>
      </w:r>
      <w:r>
        <w:rPr>
          <w:rFonts w:hint="eastAsia" w:ascii="黑体" w:eastAsia="黑体"/>
          <w:i w:val="0"/>
          <w:strike w:val="0"/>
          <w:color w:val="auto"/>
          <w:highlight w:val="none"/>
          <w:lang w:val="en-US" w:eastAsia="zh-CN"/>
        </w:rPr>
        <w:t xml:space="preserve">10 </w:t>
      </w:r>
      <w:r>
        <w:rPr>
          <w:rFonts w:hint="eastAsia"/>
          <w:color w:val="auto"/>
          <w:highlight w:val="none"/>
          <w:lang w:val="en-US" w:eastAsia="zh-CN"/>
        </w:rPr>
        <w:t>档案收藏盒中蛋白质含量检测</w:t>
      </w:r>
      <w:r>
        <w:rPr>
          <w:color w:val="auto"/>
          <w:highlight w:val="none"/>
        </w:rPr>
        <w:tab/>
      </w:r>
      <w:r>
        <w:rPr>
          <w:color w:val="auto"/>
          <w:highlight w:val="none"/>
        </w:rPr>
        <w:fldChar w:fldCharType="begin"/>
      </w:r>
      <w:r>
        <w:rPr>
          <w:color w:val="auto"/>
          <w:highlight w:val="none"/>
        </w:rPr>
        <w:instrText xml:space="preserve"> PAGEREF _Toc30789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HYPERLINK \l _Toc23906 </w:instrText>
      </w:r>
      <w:r>
        <w:rPr>
          <w:color w:val="auto"/>
          <w:highlight w:val="none"/>
        </w:rPr>
        <w:fldChar w:fldCharType="separate"/>
      </w:r>
      <w:r>
        <w:rPr>
          <w:rFonts w:hint="eastAsia"/>
          <w:color w:val="auto"/>
          <w:highlight w:val="none"/>
          <w:lang w:eastAsia="zh-CN"/>
        </w:rPr>
        <w:t>附录</w:t>
      </w:r>
      <w:r>
        <w:rPr>
          <w:rFonts w:hint="eastAsia"/>
          <w:color w:val="auto"/>
          <w:highlight w:val="none"/>
          <w:lang w:val="en-US" w:eastAsia="zh-CN"/>
        </w:rPr>
        <w:t>A（规范性） 样品制备与工作液配制</w:t>
      </w:r>
      <w:r>
        <w:rPr>
          <w:color w:val="auto"/>
          <w:highlight w:val="none"/>
        </w:rPr>
        <w:tab/>
      </w:r>
      <w:r>
        <w:rPr>
          <w:color w:val="auto"/>
          <w:highlight w:val="none"/>
        </w:rPr>
        <w:fldChar w:fldCharType="begin"/>
      </w:r>
      <w:r>
        <w:rPr>
          <w:color w:val="auto"/>
          <w:highlight w:val="none"/>
        </w:rPr>
        <w:instrText xml:space="preserve"> PAGEREF _Toc23906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r>
        <w:rPr>
          <w:color w:val="auto"/>
          <w:highlight w:val="none"/>
        </w:rPr>
        <w:fldChar w:fldCharType="begin"/>
      </w:r>
      <w:r>
        <w:rPr>
          <w:color w:val="auto"/>
          <w:highlight w:val="none"/>
        </w:rPr>
        <w:instrText xml:space="preserve"> HYPERLINK \l _Toc28517 </w:instrText>
      </w:r>
      <w:r>
        <w:rPr>
          <w:color w:val="auto"/>
          <w:highlight w:val="none"/>
        </w:rPr>
        <w:fldChar w:fldCharType="separate"/>
      </w:r>
      <w:r>
        <w:rPr>
          <w:rFonts w:hint="eastAsia"/>
          <w:color w:val="auto"/>
          <w:highlight w:val="none"/>
          <w:lang w:eastAsia="zh-CN"/>
        </w:rPr>
        <w:t>附录</w:t>
      </w:r>
      <w:r>
        <w:rPr>
          <w:rFonts w:hint="eastAsia"/>
          <w:color w:val="auto"/>
          <w:highlight w:val="none"/>
          <w:lang w:val="en-US" w:eastAsia="zh-CN"/>
        </w:rPr>
        <w:t>B（资料性） 档案常见的生物病害分类</w:t>
      </w:r>
      <w:r>
        <w:rPr>
          <w:color w:val="auto"/>
          <w:highlight w:val="none"/>
        </w:rPr>
        <w:tab/>
      </w:r>
      <w:r>
        <w:rPr>
          <w:color w:val="auto"/>
          <w:highlight w:val="none"/>
        </w:rPr>
        <w:fldChar w:fldCharType="begin"/>
      </w:r>
      <w:r>
        <w:rPr>
          <w:color w:val="auto"/>
          <w:highlight w:val="none"/>
        </w:rPr>
        <w:instrText xml:space="preserve"> PAGEREF _Toc28517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5"/>
        <w:tabs>
          <w:tab w:val="right" w:leader="dot" w:pos="9354"/>
        </w:tabs>
        <w:rPr>
          <w:color w:val="auto"/>
          <w:highlight w:val="none"/>
        </w:rPr>
      </w:pPr>
    </w:p>
    <w:p>
      <w:pPr>
        <w:pStyle w:val="15"/>
        <w:spacing w:line="300" w:lineRule="exact"/>
        <w:ind w:firstLine="420"/>
        <w:rPr>
          <w:color w:val="auto"/>
          <w:highlight w:val="none"/>
        </w:rPr>
      </w:pPr>
      <w:r>
        <w:rPr>
          <w:color w:val="auto"/>
          <w:highlight w:val="none"/>
        </w:rPr>
        <w:fldChar w:fldCharType="end"/>
      </w:r>
      <w:bookmarkStart w:id="15" w:name="muci"/>
      <w:bookmarkEnd w:id="15"/>
    </w:p>
    <w:p>
      <w:pPr>
        <w:pStyle w:val="15"/>
        <w:spacing w:line="300" w:lineRule="exact"/>
        <w:ind w:firstLine="420"/>
        <w:rPr>
          <w:color w:val="auto"/>
          <w:highlight w:val="none"/>
        </w:rPr>
        <w:sectPr>
          <w:headerReference r:id="rId9" w:type="default"/>
          <w:footerReference r:id="rId11" w:type="default"/>
          <w:headerReference r:id="rId10" w:type="even"/>
          <w:pgSz w:w="11906" w:h="16838"/>
          <w:pgMar w:top="1871" w:right="1134" w:bottom="1134" w:left="1134" w:header="1418" w:footer="1134" w:gutter="284"/>
          <w:pgNumType w:fmt="upperRoman" w:start="2"/>
          <w:cols w:space="425" w:num="1"/>
          <w:formProt w:val="0"/>
          <w:docGrid w:type="lines" w:linePitch="312" w:charSpace="0"/>
        </w:sectPr>
      </w:pPr>
    </w:p>
    <w:bookmarkEnd w:id="14"/>
    <w:p>
      <w:pPr>
        <w:pStyle w:val="30"/>
        <w:spacing w:after="468"/>
        <w:rPr>
          <w:color w:val="auto"/>
          <w:highlight w:val="none"/>
        </w:rPr>
      </w:pPr>
      <w:bookmarkStart w:id="16" w:name="_Toc28145"/>
      <w:r>
        <w:rPr>
          <w:color w:val="auto"/>
          <w:spacing w:val="320"/>
          <w:highlight w:val="none"/>
        </w:rPr>
        <w:t>前</w:t>
      </w:r>
      <w:r>
        <w:rPr>
          <w:color w:val="auto"/>
          <w:highlight w:val="none"/>
        </w:rPr>
        <w:t>言</w:t>
      </w:r>
      <w:bookmarkEnd w:id="16"/>
    </w:p>
    <w:p>
      <w:pPr>
        <w:pStyle w:val="34"/>
        <w:tabs>
          <w:tab w:val="center" w:pos="4201"/>
          <w:tab w:val="right" w:leader="dot" w:pos="9298"/>
        </w:tabs>
        <w:rPr>
          <w:rFonts w:hint="eastAsia" w:ascii="Times New Roman"/>
          <w:color w:val="auto"/>
          <w:highlight w:val="none"/>
        </w:rPr>
      </w:pPr>
      <w:r>
        <w:rPr>
          <w:rFonts w:hint="eastAsia" w:ascii="Times New Roman"/>
          <w:color w:val="auto"/>
          <w:highlight w:val="none"/>
        </w:rPr>
        <w:t>本文件按照GB/T 1.1—2020《标准化工作导则  第1部分：标准化文件的结构和起草规则》的规定起草。</w:t>
      </w:r>
    </w:p>
    <w:p>
      <w:pPr>
        <w:pStyle w:val="34"/>
        <w:tabs>
          <w:tab w:val="center" w:pos="4201"/>
          <w:tab w:val="right" w:leader="dot" w:pos="9298"/>
        </w:tabs>
        <w:rPr>
          <w:rFonts w:hint="eastAsia" w:ascii="Times New Roman"/>
          <w:color w:val="auto"/>
          <w:highlight w:val="none"/>
        </w:rPr>
      </w:pPr>
      <w:r>
        <w:rPr>
          <w:rFonts w:hint="eastAsia" w:ascii="Times New Roman"/>
          <w:color w:val="auto"/>
          <w:highlight w:val="none"/>
        </w:rPr>
        <w:t>请注意本文件的某些内容可能涉及专利。本文件的发布机构不承担识别专利的责任。</w:t>
      </w:r>
    </w:p>
    <w:p>
      <w:pPr>
        <w:pStyle w:val="34"/>
        <w:tabs>
          <w:tab w:val="center" w:pos="4201"/>
          <w:tab w:val="right" w:leader="dot" w:pos="9298"/>
        </w:tabs>
        <w:rPr>
          <w:rFonts w:hint="eastAsia" w:ascii="Times New Roman"/>
          <w:color w:val="auto"/>
          <w:highlight w:val="none"/>
        </w:rPr>
      </w:pPr>
      <w:r>
        <w:rPr>
          <w:rFonts w:hint="eastAsia" w:ascii="Times New Roman"/>
          <w:color w:val="auto"/>
          <w:highlight w:val="none"/>
        </w:rPr>
        <w:t>本文件由国家档案局提出并归口。</w:t>
      </w:r>
    </w:p>
    <w:p>
      <w:pPr>
        <w:pStyle w:val="34"/>
        <w:tabs>
          <w:tab w:val="center" w:pos="4201"/>
          <w:tab w:val="right" w:leader="dot" w:pos="9298"/>
        </w:tabs>
        <w:rPr>
          <w:rFonts w:hint="eastAsia" w:ascii="Times New Roman"/>
          <w:color w:val="auto"/>
          <w:highlight w:val="none"/>
          <w:lang w:val="en-US" w:eastAsia="zh-CN"/>
        </w:rPr>
      </w:pPr>
      <w:r>
        <w:rPr>
          <w:rFonts w:hint="eastAsia" w:ascii="Times New Roman"/>
          <w:color w:val="auto"/>
          <w:highlight w:val="none"/>
          <w:lang w:val="en-US" w:eastAsia="zh-CN"/>
        </w:rPr>
        <w:t>本文件起草单位：陕西师范大学、上海大学、中国人民大学、西北工业大学、陕西省标准化研究院。</w:t>
      </w:r>
    </w:p>
    <w:p>
      <w:pPr>
        <w:pStyle w:val="34"/>
        <w:tabs>
          <w:tab w:val="center" w:pos="4201"/>
          <w:tab w:val="right" w:leader="dot" w:pos="9298"/>
        </w:tabs>
        <w:rPr>
          <w:color w:val="auto"/>
          <w:highlight w:val="none"/>
        </w:rPr>
      </w:pPr>
      <w:r>
        <w:rPr>
          <w:rFonts w:hint="eastAsia" w:ascii="Times New Roman"/>
          <w:color w:val="auto"/>
          <w:highlight w:val="none"/>
          <w:lang w:val="en-US" w:eastAsia="zh-CN"/>
        </w:rPr>
        <w:t>本文件主要起草人：李玉虎、买冰洁、张美芳、罗雨佳、曹静、张扬。</w:t>
      </w:r>
    </w:p>
    <w:p>
      <w:pPr>
        <w:pStyle w:val="15"/>
        <w:ind w:firstLine="420"/>
        <w:rPr>
          <w:rFonts w:hint="eastAsia"/>
          <w:color w:val="auto"/>
          <w:highlight w:val="none"/>
        </w:rPr>
      </w:pPr>
    </w:p>
    <w:p>
      <w:pPr>
        <w:spacing w:after="0" w:line="360" w:lineRule="auto"/>
        <w:jc w:val="both"/>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Times New Roman" w:hAnsi="Times New Roman" w:eastAsia="仿宋" w:cs="Times New Roman"/>
          <w:b/>
          <w:bCs/>
          <w:color w:val="auto"/>
          <w:sz w:val="36"/>
          <w:szCs w:val="36"/>
          <w:highlight w:val="none"/>
          <w14:ligatures w14:val="none"/>
        </w:rPr>
      </w:pPr>
    </w:p>
    <w:p>
      <w:pPr>
        <w:spacing w:after="0" w:line="360" w:lineRule="auto"/>
        <w:jc w:val="center"/>
        <w:rPr>
          <w:rFonts w:hint="default" w:ascii="黑体" w:hAnsi="黑体" w:eastAsia="黑体" w:cs="Times New Roman"/>
          <w:color w:val="auto"/>
          <w:kern w:val="2"/>
          <w:sz w:val="32"/>
          <w:szCs w:val="32"/>
          <w:highlight w:val="none"/>
          <w:lang w:val="en-US" w:eastAsia="zh-CN" w:bidi="ar-SA"/>
          <w14:ligatures w14:val="none"/>
        </w:rPr>
        <w:sectPr>
          <w:footerReference r:id="rId12" w:type="default"/>
          <w:pgSz w:w="11906" w:h="16838"/>
          <w:pgMar w:top="1440" w:right="1800" w:bottom="1440" w:left="1800" w:header="851" w:footer="992" w:gutter="0"/>
          <w:pgNumType w:fmt="upperRoman"/>
          <w:cols w:space="425" w:num="1"/>
          <w:docGrid w:type="lines" w:linePitch="312" w:charSpace="0"/>
        </w:sectPr>
      </w:pPr>
    </w:p>
    <w:p>
      <w:pPr>
        <w:spacing w:after="0" w:line="360" w:lineRule="auto"/>
        <w:jc w:val="center"/>
        <w:rPr>
          <w:rFonts w:ascii="Times New Roman" w:hAnsi="Times New Roman" w:eastAsia="仿宋" w:cs="Times New Roman"/>
          <w:b/>
          <w:bCs/>
          <w:color w:val="auto"/>
          <w:sz w:val="36"/>
          <w:szCs w:val="36"/>
          <w:highlight w:val="none"/>
          <w14:ligatures w14:val="none"/>
        </w:rPr>
      </w:pPr>
      <w:r>
        <w:rPr>
          <w:rFonts w:hint="default" w:ascii="黑体" w:hAnsi="黑体" w:eastAsia="黑体" w:cs="Times New Roman"/>
          <w:color w:val="auto"/>
          <w:kern w:val="2"/>
          <w:sz w:val="32"/>
          <w:szCs w:val="32"/>
          <w:highlight w:val="none"/>
          <w:lang w:val="en-US" w:eastAsia="zh-CN" w:bidi="ar-SA"/>
          <w14:ligatures w14:val="none"/>
        </w:rPr>
        <w:t>国家</w:t>
      </w:r>
      <w:r>
        <w:rPr>
          <w:rFonts w:hint="eastAsia" w:ascii="黑体" w:hAnsi="黑体" w:eastAsia="黑体" w:cs="Times New Roman"/>
          <w:color w:val="auto"/>
          <w:kern w:val="2"/>
          <w:sz w:val="32"/>
          <w:szCs w:val="32"/>
          <w:highlight w:val="none"/>
          <w:lang w:val="en-US" w:eastAsia="zh-CN" w:bidi="ar-SA"/>
          <w14:ligatures w14:val="none"/>
        </w:rPr>
        <w:t>珍贵</w:t>
      </w:r>
      <w:r>
        <w:rPr>
          <w:rFonts w:hint="default" w:ascii="黑体" w:hAnsi="黑体" w:eastAsia="黑体" w:cs="Times New Roman"/>
          <w:color w:val="auto"/>
          <w:kern w:val="2"/>
          <w:sz w:val="32"/>
          <w:szCs w:val="32"/>
          <w:highlight w:val="none"/>
          <w:lang w:val="en-US" w:eastAsia="zh-CN" w:bidi="ar-SA"/>
          <w14:ligatures w14:val="none"/>
        </w:rPr>
        <w:t>档案收藏盒防灾与环保功能要求</w:t>
      </w:r>
    </w:p>
    <w:p>
      <w:pPr>
        <w:pStyle w:val="35"/>
        <w:outlineLvl w:val="0"/>
        <w:rPr>
          <w:rFonts w:hint="eastAsia"/>
          <w:color w:val="auto"/>
          <w:highlight w:val="none"/>
          <w:lang w:val="en-US" w:eastAsia="zh-CN"/>
        </w:rPr>
      </w:pPr>
      <w:bookmarkStart w:id="17" w:name="_Toc14035"/>
      <w:r>
        <w:rPr>
          <w:rFonts w:hint="eastAsia"/>
          <w:color w:val="auto"/>
          <w:highlight w:val="none"/>
          <w:lang w:val="en-US" w:eastAsia="zh-CN"/>
        </w:rPr>
        <w:t>范围</w:t>
      </w:r>
      <w:bookmarkEnd w:id="17"/>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本文件规定了国家珍贵档案收藏盒防火、防虫、防霉、防酸、环保功能要求与检测技术和功能数据，规定了档案收藏盒虫、霉因素（小麦面粉浆糊）的检测方法与程序。</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本文件适用</w:t>
      </w:r>
      <w:bookmarkStart w:id="34" w:name="_GoBack"/>
      <w:bookmarkEnd w:id="34"/>
      <w:r>
        <w:rPr>
          <w:rFonts w:hint="eastAsia"/>
          <w:color w:val="auto"/>
          <w:highlight w:val="none"/>
          <w:lang w:val="en-US" w:eastAsia="zh-CN"/>
        </w:rPr>
        <w:t>于国家珍贵档案收藏盒防灾收藏，珍贵古籍、图书、书画的防灾收藏参照使用。</w:t>
      </w:r>
      <w:bookmarkStart w:id="18" w:name="OLE_LINK2"/>
    </w:p>
    <w:p>
      <w:pPr>
        <w:pStyle w:val="35"/>
        <w:outlineLvl w:val="0"/>
        <w:rPr>
          <w:rFonts w:hint="eastAsia"/>
          <w:color w:val="auto"/>
          <w:highlight w:val="none"/>
          <w:lang w:val="en-US" w:eastAsia="zh-CN"/>
        </w:rPr>
      </w:pPr>
      <w:bookmarkStart w:id="19" w:name="_Toc14860"/>
      <w:r>
        <w:rPr>
          <w:rFonts w:hint="eastAsia"/>
          <w:color w:val="auto"/>
          <w:highlight w:val="none"/>
          <w:lang w:val="en-US" w:eastAsia="zh-CN"/>
        </w:rPr>
        <w:t>规范性引用文件</w:t>
      </w:r>
      <w:bookmarkEnd w:id="19"/>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下列文件中的内容通过文中的规范性引用构成文件必不可少的条款，其中，注日期的引用文件，仅该日期对应的版本适应于本文件；不注日期的引用文件，其最新版本（包括所有的修改单）适用于本文件。</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GB 5009.5-2025 食品安全国家标准 食品中蛋白质的测定</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GB 5009.9-2023 食品安全国家标准 食品中淀粉的测定</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GB/T 14656-2009 阻燃纸和纸板燃烧性能试验方法</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GB/T 18883-2022 室内空气质量标准</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GB/T 36985—2018 纸、纸板和纸制品 挥发性有机化合物的测定</w:t>
      </w:r>
    </w:p>
    <w:p>
      <w:pPr>
        <w:pStyle w:val="34"/>
        <w:tabs>
          <w:tab w:val="center" w:pos="4201"/>
          <w:tab w:val="right" w:leader="dot" w:pos="9298"/>
        </w:tabs>
        <w:rPr>
          <w:rFonts w:hint="eastAsia"/>
          <w:color w:val="auto"/>
          <w:highlight w:val="none"/>
          <w:lang w:val="en-US" w:eastAsia="zh-CN"/>
        </w:rPr>
      </w:pPr>
      <w:bookmarkStart w:id="20" w:name="OLE_LINK1"/>
      <w:r>
        <w:rPr>
          <w:rFonts w:hint="eastAsia"/>
          <w:color w:val="auto"/>
          <w:highlight w:val="none"/>
          <w:lang w:val="en-US" w:eastAsia="zh-CN"/>
        </w:rPr>
        <w:t>DA／T 1-2000 档案工作基本术语</w:t>
      </w:r>
    </w:p>
    <w:p>
      <w:pPr>
        <w:pStyle w:val="34"/>
        <w:tabs>
          <w:tab w:val="center" w:pos="4201"/>
          <w:tab w:val="right" w:leader="dot" w:pos="9298"/>
        </w:tabs>
        <w:rPr>
          <w:rFonts w:hint="default"/>
          <w:color w:val="auto"/>
          <w:highlight w:val="none"/>
          <w:lang w:val="en-US" w:eastAsia="zh-CN"/>
        </w:rPr>
      </w:pPr>
      <w:r>
        <w:rPr>
          <w:rFonts w:hint="default"/>
          <w:color w:val="auto"/>
          <w:highlight w:val="none"/>
          <w:lang w:val="en-US" w:eastAsia="zh-CN"/>
        </w:rPr>
        <w:t>GB/T 18204.3-2025  公共场所卫生检验方法 第3部分：空气微生物指标</w:t>
      </w:r>
    </w:p>
    <w:bookmarkEnd w:id="20"/>
    <w:p>
      <w:pPr>
        <w:pStyle w:val="35"/>
        <w:outlineLvl w:val="0"/>
        <w:rPr>
          <w:rFonts w:hint="eastAsia"/>
          <w:color w:val="auto"/>
          <w:highlight w:val="none"/>
          <w:lang w:val="en-US" w:eastAsia="zh-CN"/>
        </w:rPr>
      </w:pPr>
      <w:bookmarkStart w:id="21" w:name="_Toc15158"/>
      <w:r>
        <w:rPr>
          <w:rFonts w:hint="eastAsia"/>
          <w:color w:val="auto"/>
          <w:highlight w:val="none"/>
          <w:lang w:val="en-US" w:eastAsia="zh-CN"/>
        </w:rPr>
        <w:t>术语和定义</w:t>
      </w:r>
      <w:bookmarkEnd w:id="21"/>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DA／T 1-2000界定的以及下列术语和定义适用于本文件。</w:t>
      </w:r>
    </w:p>
    <w:p>
      <w:pPr>
        <w:pStyle w:val="34"/>
        <w:tabs>
          <w:tab w:val="center" w:pos="4201"/>
          <w:tab w:val="right" w:leader="dot" w:pos="9298"/>
        </w:tabs>
        <w:ind w:left="0" w:leftChars="0" w:firstLine="0" w:firstLineChars="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3.1</w:t>
      </w:r>
    </w:p>
    <w:p>
      <w:pPr>
        <w:pStyle w:val="34"/>
        <w:tabs>
          <w:tab w:val="center" w:pos="4201"/>
          <w:tab w:val="right" w:leader="dot" w:pos="9298"/>
        </w:tabs>
        <w:ind w:left="0" w:leftChars="0" w:firstLine="420" w:firstLineChars="20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国家珍贵档案  state precious archives</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中国各个历史时期形成的，在经济、政治、文化、社会、生态文明、军事、外事、科技等方面具有重要价值，国家需要永久保存的珍贵档案。</w:t>
      </w:r>
    </w:p>
    <w:p>
      <w:pPr>
        <w:pStyle w:val="34"/>
        <w:tabs>
          <w:tab w:val="center" w:pos="4201"/>
          <w:tab w:val="right" w:leader="dot" w:pos="9298"/>
        </w:tabs>
        <w:ind w:left="0" w:leftChars="0" w:firstLine="0" w:firstLineChars="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3.2</w:t>
      </w:r>
    </w:p>
    <w:p>
      <w:pPr>
        <w:pStyle w:val="34"/>
        <w:tabs>
          <w:tab w:val="center" w:pos="4201"/>
          <w:tab w:val="right" w:leader="dot" w:pos="9298"/>
        </w:tabs>
        <w:ind w:left="0" w:leftChars="0" w:firstLine="420" w:firstLineChars="20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档案霉菌  mold of archives</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在档案纸张上繁殖形成分枝菌丝的真菌，对档案造成直接或间接危害。</w:t>
      </w:r>
    </w:p>
    <w:p>
      <w:pPr>
        <w:pStyle w:val="34"/>
        <w:tabs>
          <w:tab w:val="center" w:pos="4201"/>
          <w:tab w:val="right" w:leader="dot" w:pos="9298"/>
        </w:tabs>
        <w:ind w:left="0" w:leftChars="0" w:firstLine="0" w:firstLineChars="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3.3</w:t>
      </w:r>
    </w:p>
    <w:p>
      <w:pPr>
        <w:pStyle w:val="34"/>
        <w:tabs>
          <w:tab w:val="center" w:pos="4201"/>
          <w:tab w:val="right" w:leader="dot" w:pos="9298"/>
        </w:tabs>
        <w:ind w:left="0" w:leftChars="0" w:firstLine="420" w:firstLineChars="20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档案害虫  pest of archives</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属于仓库害虫，以纸张纤维素等材料为食源，能够在档案库内完成整个生活史或部分发育阶段、并直接危害档案。</w:t>
      </w:r>
    </w:p>
    <w:p>
      <w:pPr>
        <w:pStyle w:val="34"/>
        <w:tabs>
          <w:tab w:val="center" w:pos="4201"/>
          <w:tab w:val="right" w:leader="dot" w:pos="9298"/>
        </w:tabs>
        <w:ind w:left="0" w:leftChars="0" w:firstLine="0" w:firstLineChars="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3.4 </w:t>
      </w:r>
    </w:p>
    <w:p>
      <w:pPr>
        <w:pStyle w:val="34"/>
        <w:tabs>
          <w:tab w:val="center" w:pos="4201"/>
          <w:tab w:val="right" w:leader="dot" w:pos="9298"/>
        </w:tabs>
        <w:ind w:left="0" w:leftChars="0" w:firstLine="420" w:firstLineChars="200"/>
        <w:rPr>
          <w:rFonts w:hint="eastAsia"/>
          <w:color w:val="auto"/>
          <w:highlight w:val="none"/>
          <w:lang w:val="en-US" w:eastAsia="zh-CN"/>
        </w:rPr>
      </w:pPr>
      <w:r>
        <w:rPr>
          <w:rFonts w:hint="eastAsia" w:ascii="黑体" w:hAnsi="黑体" w:eastAsia="黑体" w:cs="黑体"/>
          <w:color w:val="auto"/>
          <w:highlight w:val="none"/>
          <w:lang w:val="en-US" w:eastAsia="zh-CN"/>
        </w:rPr>
        <w:t>档案收藏盒 archives box</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用于存放档案的器具。</w:t>
      </w:r>
    </w:p>
    <w:p>
      <w:pPr>
        <w:pStyle w:val="34"/>
        <w:tabs>
          <w:tab w:val="center" w:pos="4201"/>
          <w:tab w:val="right" w:leader="dot" w:pos="9298"/>
        </w:tabs>
        <w:ind w:left="0" w:leftChars="0" w:firstLine="0" w:firstLineChars="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3.5 </w:t>
      </w:r>
    </w:p>
    <w:p>
      <w:pPr>
        <w:pStyle w:val="34"/>
        <w:tabs>
          <w:tab w:val="center" w:pos="4201"/>
          <w:tab w:val="right" w:leader="dot" w:pos="9298"/>
        </w:tabs>
        <w:ind w:left="0" w:leftChars="0"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BCA 试剂</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Bicinchoninic acid disodium salt (BCA reagent)一种用于蛋白质定量分析的化学试剂，化学名称为2,2’-联喹啉-4,4’-二甲酸二钠盐。在碱性环境中，蛋白质还原铜离子生成的一价铜离子（Cu⁺）可与BCA试剂发生特异性螯合，形成在562 nm波长处有最大吸收的紫色络合物，其吸光度与蛋白质浓度成正比。该方法（BCA法）常用于文物档案材料中蛋白质类胶粘剂（如动物胶）的微量检测。</w:t>
      </w:r>
    </w:p>
    <w:p>
      <w:pPr>
        <w:pStyle w:val="35"/>
        <w:outlineLvl w:val="0"/>
        <w:rPr>
          <w:rFonts w:hint="eastAsia"/>
          <w:color w:val="auto"/>
          <w:highlight w:val="none"/>
          <w:lang w:val="en-US" w:eastAsia="zh-CN"/>
        </w:rPr>
      </w:pPr>
      <w:bookmarkStart w:id="22" w:name="_Toc27113"/>
      <w:r>
        <w:rPr>
          <w:rFonts w:hint="eastAsia"/>
          <w:color w:val="auto"/>
          <w:highlight w:val="none"/>
          <w:lang w:val="en-US" w:eastAsia="zh-CN"/>
        </w:rPr>
        <w:t>国家珍贵档案收藏盒总体功能要求</w:t>
      </w:r>
      <w:bookmarkEnd w:id="22"/>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国家珍贵档案收藏盒应具备防火、防虫、防霉、防酸及低挥发性的综合防护功能。在使用前，应对其进行虫霉诱因检测。通过档案收藏盒的规范应用，应能在库房内形成一道实体防护屏障，以阻隔或减缓火、虫、霉、酸等主要风险因素对档案实体的直接侵害。档案收藏盒自身不得释放对档案载体及字迹材料有害的污染气体。</w:t>
      </w:r>
    </w:p>
    <w:p>
      <w:pPr>
        <w:pStyle w:val="35"/>
        <w:outlineLvl w:val="0"/>
        <w:rPr>
          <w:rFonts w:hint="eastAsia"/>
          <w:color w:val="auto"/>
          <w:highlight w:val="none"/>
          <w:lang w:val="en-US" w:eastAsia="zh-CN"/>
        </w:rPr>
      </w:pPr>
      <w:bookmarkStart w:id="23" w:name="_Toc3884"/>
      <w:r>
        <w:rPr>
          <w:rFonts w:hint="eastAsia"/>
          <w:color w:val="auto"/>
          <w:highlight w:val="none"/>
          <w:lang w:val="en-US" w:eastAsia="zh-CN"/>
        </w:rPr>
        <w:t>档案收藏盒纸板阻燃防火功能与测试</w:t>
      </w:r>
      <w:bookmarkEnd w:id="23"/>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按照GB/T 14656-2009《阻燃纸和纸板燃烧性能试验方法》对档案收藏盒纸板进行测试。纸板燃烧性能试验结果需达到阻燃纸性能要求：平均续燃时间≤5s、平均灼燃时间≤60s、平均炭化长度≤115mm。</w:t>
      </w:r>
    </w:p>
    <w:p>
      <w:pPr>
        <w:pStyle w:val="35"/>
        <w:outlineLvl w:val="0"/>
        <w:rPr>
          <w:rFonts w:hint="eastAsia"/>
          <w:color w:val="auto"/>
          <w:highlight w:val="none"/>
          <w:lang w:val="en-US" w:eastAsia="zh-CN"/>
        </w:rPr>
      </w:pPr>
      <w:bookmarkStart w:id="24" w:name="_Toc29567"/>
      <w:r>
        <w:rPr>
          <w:rFonts w:hint="eastAsia"/>
          <w:color w:val="auto"/>
          <w:highlight w:val="none"/>
          <w:lang w:val="en-US" w:eastAsia="zh-CN"/>
        </w:rPr>
        <w:t>档案收藏盒防虫功能与检验</w:t>
      </w:r>
      <w:bookmarkEnd w:id="24"/>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档案收藏盒在库房中的整体应用，应能形成有效的密集防护屏障，阻止档案害虫的蔓延与繁殖。</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其防虫功能应按照以下检验方法进行检验：在温度为15℃～30℃、相对湿度为85%～95%的箱体中，放置小麦面粉，并于面粉内插入普通纸张，用以饲养活体烟草甲、药材甲、档案窃蠹、花斑皮蠹等档案害虫。在该箱体中同时放入30个待检档案收藏盒，每盒内装50张普通纸张。经50天后检验，档案收藏盒应对上述害虫具有趋避作用，且档案收藏盒及其盒内纸张上均不得繁殖幼虫、虫卵或虫蛹。对于符合上述条件的档案收藏盒，可判定其具备防虫功能。</w:t>
      </w:r>
    </w:p>
    <w:p>
      <w:pPr>
        <w:pStyle w:val="34"/>
        <w:tabs>
          <w:tab w:val="center" w:pos="4201"/>
          <w:tab w:val="right" w:leader="dot" w:pos="9298"/>
        </w:tabs>
        <w:rPr>
          <w:rFonts w:hint="eastAsia"/>
          <w:color w:val="auto"/>
          <w:highlight w:val="none"/>
          <w:lang w:val="en-US" w:eastAsia="zh-CN"/>
        </w:rPr>
      </w:pPr>
      <w:r>
        <w:rPr>
          <w:color w:val="auto"/>
          <w:highlight w:val="none"/>
        </w:rPr>
        <w:t>常见档案害虫种类示例参见附录B.1</w:t>
      </w:r>
    </w:p>
    <w:p>
      <w:pPr>
        <w:pStyle w:val="35"/>
        <w:outlineLvl w:val="0"/>
        <w:rPr>
          <w:rFonts w:hint="eastAsia"/>
          <w:color w:val="auto"/>
          <w:highlight w:val="none"/>
          <w:lang w:val="en-US" w:eastAsia="zh-CN"/>
        </w:rPr>
      </w:pPr>
      <w:bookmarkStart w:id="25" w:name="_Toc20900"/>
      <w:r>
        <w:rPr>
          <w:rFonts w:hint="eastAsia"/>
          <w:color w:val="auto"/>
          <w:highlight w:val="none"/>
          <w:lang w:val="en-US" w:eastAsia="zh-CN"/>
        </w:rPr>
        <w:t>档案收藏盒防霉功能与测试</w:t>
      </w:r>
      <w:bookmarkEnd w:id="25"/>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档案收藏盒在库房中的整体应用，应能形成有效的密集防护屏障，防止霉菌的蔓延。</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其防霉功能应通过以下测试进行验证：将30个档案收藏盒，每盒内装50张普通纸张，置于温度15℃～30℃、相对湿度85%～95%、且曲霉、青霉、根霉等霉菌总孢子浓度为10⁶CFU/m³以上的箱体中。经50天后，档案收藏盒及其盒内纸张均不得滋生霉菌。对于符合上述条件的档案收藏盒，可判定其具备防霉功能。</w:t>
      </w:r>
    </w:p>
    <w:p>
      <w:pPr>
        <w:pStyle w:val="34"/>
        <w:tabs>
          <w:tab w:val="center" w:pos="4201"/>
          <w:tab w:val="right" w:leader="dot" w:pos="9298"/>
        </w:tabs>
        <w:rPr>
          <w:rFonts w:hint="eastAsia"/>
          <w:color w:val="auto"/>
          <w:highlight w:val="none"/>
          <w:lang w:val="en-US" w:eastAsia="zh-CN"/>
        </w:rPr>
      </w:pPr>
      <w:r>
        <w:rPr>
          <w:color w:val="auto"/>
          <w:highlight w:val="none"/>
        </w:rPr>
        <w:t>常见档案霉菌种类示例参见附录B.2</w:t>
      </w:r>
    </w:p>
    <w:p>
      <w:pPr>
        <w:pStyle w:val="35"/>
        <w:outlineLvl w:val="0"/>
        <w:rPr>
          <w:rFonts w:hint="eastAsia"/>
          <w:color w:val="auto"/>
          <w:highlight w:val="none"/>
          <w:lang w:val="en-US" w:eastAsia="zh-CN"/>
        </w:rPr>
      </w:pPr>
      <w:bookmarkStart w:id="26" w:name="_Toc16263"/>
      <w:r>
        <w:rPr>
          <w:rFonts w:hint="eastAsia"/>
          <w:color w:val="auto"/>
          <w:highlight w:val="none"/>
          <w:lang w:val="en-US" w:eastAsia="zh-CN"/>
        </w:rPr>
        <w:t>档案收藏盒防酸功能要求与测试</w:t>
      </w:r>
      <w:bookmarkEnd w:id="26"/>
    </w:p>
    <w:p>
      <w:pPr>
        <w:pStyle w:val="36"/>
        <w:ind w:left="0"/>
        <w:rPr>
          <w:rFonts w:hint="default"/>
          <w:color w:val="auto"/>
          <w:highlight w:val="none"/>
          <w:lang w:val="en-US" w:eastAsia="zh-CN"/>
        </w:rPr>
      </w:pPr>
      <w:r>
        <w:rPr>
          <w:rFonts w:hint="eastAsia"/>
          <w:color w:val="auto"/>
          <w:highlight w:val="none"/>
          <w:lang w:val="en-US" w:eastAsia="zh-CN"/>
        </w:rPr>
        <w:t>防酸功能要求</w:t>
      </w:r>
    </w:p>
    <w:p>
      <w:pPr>
        <w:pStyle w:val="34"/>
        <w:tabs>
          <w:tab w:val="center" w:pos="4201"/>
          <w:tab w:val="right" w:leader="dot" w:pos="9298"/>
        </w:tabs>
        <w:rPr>
          <w:rFonts w:hint="default"/>
          <w:color w:val="auto"/>
          <w:highlight w:val="none"/>
          <w:lang w:val="en-US" w:eastAsia="zh-CN"/>
        </w:rPr>
      </w:pPr>
      <w:r>
        <w:rPr>
          <w:rFonts w:hint="default"/>
          <w:color w:val="auto"/>
          <w:highlight w:val="none"/>
          <w:lang w:val="en-US" w:eastAsia="zh-CN"/>
        </w:rPr>
        <w:t>档案</w:t>
      </w:r>
      <w:r>
        <w:rPr>
          <w:rFonts w:hint="eastAsia"/>
          <w:color w:val="auto"/>
          <w:highlight w:val="none"/>
          <w:lang w:val="en-US" w:eastAsia="zh-CN"/>
        </w:rPr>
        <w:t>收藏</w:t>
      </w:r>
      <w:r>
        <w:rPr>
          <w:rFonts w:hint="default"/>
          <w:color w:val="auto"/>
          <w:highlight w:val="none"/>
          <w:lang w:val="en-US" w:eastAsia="zh-CN"/>
        </w:rPr>
        <w:t>盒应具备抵抗环境中酸性气体侵蚀的能力，能够有效阻隔酸性物质，防止盒体自身及盒内藏品材料发生酸化老化，从而长期维持其材料的化学稳定性。</w:t>
      </w:r>
    </w:p>
    <w:p>
      <w:pPr>
        <w:pStyle w:val="36"/>
        <w:ind w:left="0"/>
        <w:rPr>
          <w:rFonts w:hint="default"/>
          <w:color w:val="auto"/>
          <w:highlight w:val="none"/>
          <w:lang w:val="en-US" w:eastAsia="zh-CN"/>
        </w:rPr>
      </w:pPr>
      <w:r>
        <w:rPr>
          <w:rFonts w:hint="eastAsia"/>
          <w:color w:val="auto"/>
          <w:highlight w:val="none"/>
          <w:lang w:val="en-US" w:eastAsia="zh-CN"/>
        </w:rPr>
        <w:t>防酸功能测试方法</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防酸功能测试应符合以下要求：</w:t>
      </w:r>
    </w:p>
    <w:p>
      <w:pPr>
        <w:pStyle w:val="37"/>
        <w:rPr>
          <w:rFonts w:hint="eastAsia"/>
          <w:color w:val="auto"/>
          <w:highlight w:val="none"/>
          <w:lang w:val="en-US" w:eastAsia="zh-CN"/>
        </w:rPr>
      </w:pPr>
      <w:r>
        <w:rPr>
          <w:rFonts w:hint="default"/>
          <w:color w:val="auto"/>
          <w:highlight w:val="none"/>
          <w:lang w:val="en-US" w:eastAsia="zh-CN"/>
        </w:rPr>
        <w:t>测试环境制备</w:t>
      </w:r>
      <w:r>
        <w:rPr>
          <w:rFonts w:hint="eastAsia"/>
          <w:color w:val="auto"/>
          <w:highlight w:val="none"/>
          <w:lang w:val="en-US" w:eastAsia="zh-CN"/>
        </w:rPr>
        <w:t>：</w:t>
      </w:r>
      <w:r>
        <w:rPr>
          <w:rFonts w:hint="default"/>
          <w:color w:val="auto"/>
          <w:highlight w:val="none"/>
          <w:lang w:val="en-US" w:eastAsia="zh-CN"/>
        </w:rPr>
        <w:t>测试应在专用的酸性气体环境箱中进行。该环境箱的容积为0.5 m³，箱内应能建立并维持的酸性气体浓度</w:t>
      </w:r>
      <w:r>
        <w:rPr>
          <w:rFonts w:hint="eastAsia"/>
          <w:color w:val="auto"/>
          <w:highlight w:val="none"/>
          <w:lang w:val="en-US" w:eastAsia="zh-CN"/>
        </w:rPr>
        <w:t>为</w:t>
      </w:r>
      <w:r>
        <w:rPr>
          <w:rFonts w:hint="default"/>
          <w:color w:val="auto"/>
          <w:highlight w:val="none"/>
          <w:lang w:val="en-US" w:eastAsia="zh-CN"/>
        </w:rPr>
        <w:t>：醋酸气体浓度</w:t>
      </w:r>
      <w:r>
        <w:rPr>
          <w:rFonts w:hint="eastAsia"/>
          <w:color w:val="auto"/>
          <w:highlight w:val="none"/>
          <w:lang w:val="en-US" w:eastAsia="zh-CN"/>
        </w:rPr>
        <w:t>为5 ppm，</w:t>
      </w:r>
      <w:r>
        <w:rPr>
          <w:rFonts w:hint="default"/>
          <w:color w:val="auto"/>
          <w:highlight w:val="none"/>
          <w:lang w:val="en-US" w:eastAsia="zh-CN"/>
        </w:rPr>
        <w:t>盐酸气体浓度</w:t>
      </w:r>
      <w:r>
        <w:rPr>
          <w:rFonts w:hint="eastAsia"/>
          <w:color w:val="auto"/>
          <w:highlight w:val="none"/>
          <w:lang w:val="en-US" w:eastAsia="zh-CN"/>
        </w:rPr>
        <w:t>为5 ppm；</w:t>
      </w:r>
    </w:p>
    <w:p>
      <w:pPr>
        <w:pStyle w:val="37"/>
        <w:rPr>
          <w:rFonts w:hint="eastAsia"/>
          <w:color w:val="auto"/>
          <w:highlight w:val="none"/>
          <w:lang w:val="en-US" w:eastAsia="zh-CN"/>
        </w:rPr>
      </w:pPr>
      <w:r>
        <w:rPr>
          <w:rFonts w:hint="default"/>
          <w:color w:val="auto"/>
          <w:highlight w:val="none"/>
          <w:lang w:val="en-US" w:eastAsia="zh-CN"/>
        </w:rPr>
        <w:t>样品制备</w:t>
      </w:r>
      <w:r>
        <w:rPr>
          <w:rFonts w:hint="eastAsia"/>
          <w:color w:val="auto"/>
          <w:highlight w:val="none"/>
          <w:lang w:val="en-US" w:eastAsia="zh-CN"/>
        </w:rPr>
        <w:t>：</w:t>
      </w:r>
      <w:r>
        <w:rPr>
          <w:rFonts w:hint="default"/>
          <w:color w:val="auto"/>
          <w:highlight w:val="none"/>
          <w:lang w:val="en-US" w:eastAsia="zh-CN"/>
        </w:rPr>
        <w:t>准备30个待检档案</w:t>
      </w:r>
      <w:r>
        <w:rPr>
          <w:rFonts w:hint="eastAsia"/>
          <w:color w:val="auto"/>
          <w:highlight w:val="none"/>
          <w:lang w:val="en-US" w:eastAsia="zh-CN"/>
        </w:rPr>
        <w:t>收藏</w:t>
      </w:r>
      <w:r>
        <w:rPr>
          <w:rFonts w:hint="default"/>
          <w:color w:val="auto"/>
          <w:highlight w:val="none"/>
          <w:lang w:val="en-US" w:eastAsia="zh-CN"/>
        </w:rPr>
        <w:t>盒作为测试样品。在每个档案</w:t>
      </w:r>
      <w:r>
        <w:rPr>
          <w:rFonts w:hint="eastAsia"/>
          <w:color w:val="auto"/>
          <w:highlight w:val="none"/>
          <w:lang w:val="en-US" w:eastAsia="zh-CN"/>
        </w:rPr>
        <w:t>收藏</w:t>
      </w:r>
      <w:r>
        <w:rPr>
          <w:rFonts w:hint="default"/>
          <w:color w:val="auto"/>
          <w:highlight w:val="none"/>
          <w:lang w:val="en-US" w:eastAsia="zh-CN"/>
        </w:rPr>
        <w:t>盒内均匀放入100张普通纸张</w:t>
      </w:r>
      <w:r>
        <w:rPr>
          <w:rFonts w:hint="eastAsia"/>
          <w:color w:val="auto"/>
          <w:highlight w:val="none"/>
          <w:lang w:val="en-US" w:eastAsia="zh-CN"/>
        </w:rPr>
        <w:t>；</w:t>
      </w:r>
    </w:p>
    <w:p>
      <w:pPr>
        <w:pStyle w:val="37"/>
        <w:rPr>
          <w:rFonts w:hint="eastAsia"/>
          <w:color w:val="auto"/>
          <w:highlight w:val="none"/>
          <w:lang w:val="en-US" w:eastAsia="zh-CN"/>
        </w:rPr>
      </w:pPr>
      <w:r>
        <w:rPr>
          <w:rFonts w:hint="default"/>
          <w:color w:val="auto"/>
          <w:highlight w:val="none"/>
          <w:lang w:val="en-US" w:eastAsia="zh-CN"/>
        </w:rPr>
        <w:t>测试步骤</w:t>
      </w:r>
      <w:r>
        <w:rPr>
          <w:rFonts w:hint="eastAsia"/>
          <w:color w:val="auto"/>
          <w:highlight w:val="none"/>
          <w:lang w:val="en-US" w:eastAsia="zh-CN"/>
        </w:rPr>
        <w:t>：</w:t>
      </w:r>
      <w:r>
        <w:rPr>
          <w:rFonts w:hint="default"/>
          <w:color w:val="auto"/>
          <w:highlight w:val="none"/>
          <w:lang w:val="en-US" w:eastAsia="zh-CN"/>
        </w:rPr>
        <w:t>将制备好的样品档案</w:t>
      </w:r>
      <w:r>
        <w:rPr>
          <w:rFonts w:hint="eastAsia"/>
          <w:color w:val="auto"/>
          <w:highlight w:val="none"/>
          <w:lang w:val="en-US" w:eastAsia="zh-CN"/>
        </w:rPr>
        <w:t>收藏</w:t>
      </w:r>
      <w:r>
        <w:rPr>
          <w:rFonts w:hint="default"/>
          <w:color w:val="auto"/>
          <w:highlight w:val="none"/>
          <w:lang w:val="en-US" w:eastAsia="zh-CN"/>
        </w:rPr>
        <w:t>盒放入符合</w:t>
      </w:r>
      <w:r>
        <w:rPr>
          <w:rFonts w:hint="eastAsia"/>
          <w:color w:val="auto"/>
          <w:highlight w:val="none"/>
          <w:lang w:val="en-US" w:eastAsia="zh-CN"/>
        </w:rPr>
        <w:t>以上</w:t>
      </w:r>
      <w:r>
        <w:rPr>
          <w:rFonts w:hint="default"/>
          <w:color w:val="auto"/>
          <w:highlight w:val="none"/>
          <w:lang w:val="en-US" w:eastAsia="zh-CN"/>
        </w:rPr>
        <w:t>要求的酸性气体环境箱中。密闭暴露，持续时间为50天</w:t>
      </w:r>
      <w:r>
        <w:rPr>
          <w:rFonts w:hint="eastAsia"/>
          <w:color w:val="auto"/>
          <w:highlight w:val="none"/>
          <w:lang w:val="en-US" w:eastAsia="zh-CN"/>
        </w:rPr>
        <w:t>；</w:t>
      </w:r>
    </w:p>
    <w:p>
      <w:pPr>
        <w:pStyle w:val="37"/>
        <w:rPr>
          <w:rFonts w:hint="default"/>
          <w:color w:val="auto"/>
          <w:highlight w:val="none"/>
          <w:lang w:val="en-US" w:eastAsia="zh-CN"/>
        </w:rPr>
      </w:pPr>
      <w:r>
        <w:rPr>
          <w:rFonts w:hint="default"/>
          <w:color w:val="auto"/>
          <w:highlight w:val="none"/>
          <w:lang w:val="en-US" w:eastAsia="zh-CN"/>
        </w:rPr>
        <w:t>结果判定</w:t>
      </w:r>
      <w:r>
        <w:rPr>
          <w:rFonts w:hint="eastAsia"/>
          <w:color w:val="auto"/>
          <w:highlight w:val="none"/>
          <w:lang w:val="en-US" w:eastAsia="zh-CN"/>
        </w:rPr>
        <w:t>：</w:t>
      </w:r>
      <w:r>
        <w:rPr>
          <w:rFonts w:hint="default"/>
          <w:color w:val="auto"/>
          <w:highlight w:val="none"/>
          <w:lang w:val="en-US" w:eastAsia="zh-CN"/>
        </w:rPr>
        <w:t>测试结束后，取出样品，并按以下要求进行检测与判定：档案</w:t>
      </w:r>
      <w:r>
        <w:rPr>
          <w:rFonts w:hint="eastAsia"/>
          <w:color w:val="auto"/>
          <w:highlight w:val="none"/>
          <w:lang w:val="en-US" w:eastAsia="zh-CN"/>
        </w:rPr>
        <w:t>收藏</w:t>
      </w:r>
      <w:r>
        <w:rPr>
          <w:rFonts w:hint="default"/>
          <w:color w:val="auto"/>
          <w:highlight w:val="none"/>
          <w:lang w:val="en-US" w:eastAsia="zh-CN"/>
        </w:rPr>
        <w:t>盒纸板材质的pH值下降不得超过0.5。档案</w:t>
      </w:r>
      <w:r>
        <w:rPr>
          <w:rFonts w:hint="eastAsia"/>
          <w:color w:val="auto"/>
          <w:highlight w:val="none"/>
          <w:lang w:val="en-US" w:eastAsia="zh-CN"/>
        </w:rPr>
        <w:t>收藏</w:t>
      </w:r>
      <w:r>
        <w:rPr>
          <w:rFonts w:hint="default"/>
          <w:color w:val="auto"/>
          <w:highlight w:val="none"/>
          <w:lang w:val="en-US" w:eastAsia="zh-CN"/>
        </w:rPr>
        <w:t>盒内所放置纸张的pH值下降不得超过0.5。纸张pH值的测量应分别从每个档案</w:t>
      </w:r>
      <w:r>
        <w:rPr>
          <w:rFonts w:hint="eastAsia"/>
          <w:color w:val="auto"/>
          <w:highlight w:val="none"/>
          <w:lang w:val="en-US" w:eastAsia="zh-CN"/>
        </w:rPr>
        <w:t>收藏</w:t>
      </w:r>
      <w:r>
        <w:rPr>
          <w:rFonts w:hint="default"/>
          <w:color w:val="auto"/>
          <w:highlight w:val="none"/>
          <w:lang w:val="en-US" w:eastAsia="zh-CN"/>
        </w:rPr>
        <w:t>盒内的上、中、下三个位置取样，以其平均值作为该盒纸张的最终结果。pH值测试方法：</w:t>
      </w:r>
      <w:r>
        <w:rPr>
          <w:rFonts w:hint="eastAsia"/>
          <w:color w:val="auto"/>
          <w:highlight w:val="none"/>
          <w:lang w:val="en-US" w:eastAsia="zh-CN"/>
        </w:rPr>
        <w:t>样品重量10 g</w:t>
      </w:r>
      <w:r>
        <w:rPr>
          <w:rFonts w:hint="default"/>
          <w:color w:val="auto"/>
          <w:highlight w:val="none"/>
          <w:lang w:val="en-US" w:eastAsia="zh-CN"/>
        </w:rPr>
        <w:t>，使用沸腾的蒸馏水（100°C）萃取</w:t>
      </w:r>
      <w:r>
        <w:rPr>
          <w:rFonts w:hint="eastAsia"/>
          <w:color w:val="auto"/>
          <w:highlight w:val="none"/>
          <w:lang w:val="en-US" w:eastAsia="zh-CN"/>
        </w:rPr>
        <w:t>1h，萃取液自然冷却至20°C后，再进行pH值的测定</w:t>
      </w:r>
      <w:r>
        <w:rPr>
          <w:rFonts w:hint="default"/>
          <w:color w:val="auto"/>
          <w:highlight w:val="none"/>
          <w:lang w:val="en-US" w:eastAsia="zh-CN"/>
        </w:rPr>
        <w:t>。</w:t>
      </w:r>
      <w:r>
        <w:rPr>
          <w:rFonts w:hint="eastAsia"/>
          <w:color w:val="auto"/>
          <w:highlight w:val="none"/>
          <w:lang w:val="en-US" w:eastAsia="zh-CN"/>
        </w:rPr>
        <w:t>对于</w:t>
      </w:r>
      <w:r>
        <w:rPr>
          <w:rFonts w:hint="default"/>
          <w:color w:val="auto"/>
          <w:highlight w:val="none"/>
          <w:lang w:val="en-US" w:eastAsia="zh-CN"/>
        </w:rPr>
        <w:t>符合以上全部要求的档案</w:t>
      </w:r>
      <w:r>
        <w:rPr>
          <w:rFonts w:hint="eastAsia"/>
          <w:color w:val="auto"/>
          <w:highlight w:val="none"/>
          <w:lang w:val="en-US" w:eastAsia="zh-CN"/>
        </w:rPr>
        <w:t>收藏</w:t>
      </w:r>
      <w:r>
        <w:rPr>
          <w:rFonts w:hint="default"/>
          <w:color w:val="auto"/>
          <w:highlight w:val="none"/>
          <w:lang w:val="en-US" w:eastAsia="zh-CN"/>
        </w:rPr>
        <w:t>盒，可判定</w:t>
      </w:r>
      <w:r>
        <w:rPr>
          <w:rFonts w:hint="eastAsia"/>
          <w:color w:val="auto"/>
          <w:highlight w:val="none"/>
          <w:lang w:val="en-US" w:eastAsia="zh-CN"/>
        </w:rPr>
        <w:t>其</w:t>
      </w:r>
      <w:r>
        <w:rPr>
          <w:rFonts w:hint="default"/>
          <w:color w:val="auto"/>
          <w:highlight w:val="none"/>
          <w:lang w:val="en-US" w:eastAsia="zh-CN"/>
        </w:rPr>
        <w:t>具备防酸功能。</w:t>
      </w:r>
    </w:p>
    <w:p>
      <w:pPr>
        <w:pStyle w:val="35"/>
        <w:outlineLvl w:val="0"/>
        <w:rPr>
          <w:rFonts w:hint="eastAsia"/>
          <w:color w:val="auto"/>
          <w:highlight w:val="none"/>
          <w:lang w:val="en-US" w:eastAsia="zh-CN"/>
        </w:rPr>
      </w:pPr>
      <w:bookmarkStart w:id="27" w:name="_Toc8147"/>
      <w:r>
        <w:rPr>
          <w:rFonts w:hint="eastAsia"/>
          <w:color w:val="auto"/>
          <w:highlight w:val="none"/>
          <w:lang w:val="en-US" w:eastAsia="zh-CN"/>
        </w:rPr>
        <w:t>档案收藏盒挥发气体质量要求与测试</w:t>
      </w:r>
      <w:bookmarkEnd w:id="27"/>
    </w:p>
    <w:p>
      <w:pPr>
        <w:pStyle w:val="34"/>
        <w:tabs>
          <w:tab w:val="center" w:pos="4201"/>
          <w:tab w:val="right" w:leader="dot" w:pos="9298"/>
        </w:tabs>
        <w:rPr>
          <w:rFonts w:hint="default"/>
          <w:color w:val="auto"/>
          <w:highlight w:val="none"/>
          <w:lang w:val="en-US" w:eastAsia="zh-CN"/>
        </w:rPr>
      </w:pPr>
      <w:r>
        <w:rPr>
          <w:rFonts w:hint="eastAsia"/>
          <w:color w:val="auto"/>
          <w:highlight w:val="none"/>
          <w:lang w:val="en-US" w:eastAsia="zh-CN"/>
        </w:rPr>
        <w:t>应按照GB/T 36985—2018中顶空法的规定对档案收藏盒纸板挥发性有机化合物的种类及含量进行测试。档案收藏盒纸板释放的各类气体含量均不得超过GB/T 18883-2022中规定的限值。</w:t>
      </w:r>
    </w:p>
    <w:p>
      <w:pPr>
        <w:pStyle w:val="35"/>
        <w:outlineLvl w:val="0"/>
        <w:rPr>
          <w:rFonts w:hint="default"/>
          <w:color w:val="auto"/>
          <w:highlight w:val="none"/>
          <w:lang w:val="en-US" w:eastAsia="zh-CN"/>
        </w:rPr>
      </w:pPr>
      <w:bookmarkStart w:id="28" w:name="_Toc30789"/>
      <w:r>
        <w:rPr>
          <w:rFonts w:hint="eastAsia"/>
          <w:color w:val="auto"/>
          <w:highlight w:val="none"/>
          <w:lang w:val="en-US" w:eastAsia="zh-CN"/>
        </w:rPr>
        <w:t>档案收藏盒中蛋白质含量检测</w:t>
      </w:r>
      <w:bookmarkEnd w:id="18"/>
      <w:bookmarkEnd w:id="28"/>
    </w:p>
    <w:p>
      <w:pPr>
        <w:pStyle w:val="34"/>
        <w:tabs>
          <w:tab w:val="center" w:pos="4201"/>
          <w:tab w:val="right" w:leader="dot" w:pos="9298"/>
        </w:tabs>
        <w:rPr>
          <w:rFonts w:hint="default"/>
          <w:color w:val="auto"/>
          <w:highlight w:val="none"/>
          <w:lang w:val="en-US" w:eastAsia="zh-CN"/>
        </w:rPr>
      </w:pPr>
      <w:r>
        <w:rPr>
          <w:rFonts w:hint="eastAsia"/>
          <w:color w:val="auto"/>
          <w:highlight w:val="none"/>
          <w:lang w:val="en-US" w:eastAsia="zh-CN"/>
        </w:rPr>
        <w:t>采用BCA法对档案收藏盒中的蛋白质进行定性定量检测，具体步骤如下：</w:t>
      </w:r>
    </w:p>
    <w:p>
      <w:pPr>
        <w:pStyle w:val="34"/>
        <w:tabs>
          <w:tab w:val="center" w:pos="4201"/>
          <w:tab w:val="right" w:leader="dot" w:pos="9298"/>
        </w:tabs>
        <w:rPr>
          <w:rFonts w:hint="default"/>
          <w:color w:val="auto"/>
          <w:highlight w:val="none"/>
          <w:lang w:val="en-US" w:eastAsia="zh-CN"/>
        </w:rPr>
      </w:pPr>
      <w:r>
        <w:rPr>
          <w:rFonts w:hint="default"/>
          <w:color w:val="auto"/>
          <w:highlight w:val="none"/>
          <w:lang w:val="en-US" w:eastAsia="zh-CN"/>
        </w:rPr>
        <w:t>将</w:t>
      </w:r>
      <w:r>
        <w:rPr>
          <w:rFonts w:hint="eastAsia"/>
          <w:color w:val="auto"/>
          <w:highlight w:val="none"/>
          <w:lang w:val="en-US" w:eastAsia="zh-CN"/>
        </w:rPr>
        <w:t>蛋白质</w:t>
      </w:r>
      <w:r>
        <w:rPr>
          <w:rFonts w:hint="default"/>
          <w:color w:val="auto"/>
          <w:highlight w:val="none"/>
          <w:lang w:val="en-US" w:eastAsia="zh-CN"/>
        </w:rPr>
        <w:t>标准品按0</w:t>
      </w:r>
      <w:r>
        <w:rPr>
          <w:rFonts w:hint="eastAsia"/>
          <w:color w:val="auto"/>
          <w:highlight w:val="none"/>
          <w:lang w:val="en-US" w:eastAsia="zh-CN"/>
        </w:rPr>
        <w:t xml:space="preserve"> </w:t>
      </w:r>
      <w:r>
        <w:rPr>
          <w:rFonts w:hint="default"/>
          <w:color w:val="auto"/>
          <w:highlight w:val="none"/>
          <w:lang w:val="en-US" w:eastAsia="zh-CN"/>
        </w:rPr>
        <w:t>μL、1</w:t>
      </w:r>
      <w:r>
        <w:rPr>
          <w:rFonts w:hint="eastAsia"/>
          <w:color w:val="auto"/>
          <w:highlight w:val="none"/>
          <w:lang w:val="en-US" w:eastAsia="zh-CN"/>
        </w:rPr>
        <w:t xml:space="preserve"> </w:t>
      </w:r>
      <w:r>
        <w:rPr>
          <w:rFonts w:hint="default"/>
          <w:color w:val="auto"/>
          <w:highlight w:val="none"/>
          <w:lang w:val="en-US" w:eastAsia="zh-CN"/>
        </w:rPr>
        <w:t>μL、2</w:t>
      </w:r>
      <w:r>
        <w:rPr>
          <w:rFonts w:hint="eastAsia"/>
          <w:color w:val="auto"/>
          <w:highlight w:val="none"/>
          <w:lang w:val="en-US" w:eastAsia="zh-CN"/>
        </w:rPr>
        <w:t xml:space="preserve"> </w:t>
      </w:r>
      <w:r>
        <w:rPr>
          <w:rFonts w:hint="default"/>
          <w:color w:val="auto"/>
          <w:highlight w:val="none"/>
          <w:lang w:val="en-US" w:eastAsia="zh-CN"/>
        </w:rPr>
        <w:t>μL、4</w:t>
      </w:r>
      <w:r>
        <w:rPr>
          <w:rFonts w:hint="eastAsia"/>
          <w:color w:val="auto"/>
          <w:highlight w:val="none"/>
          <w:lang w:val="en-US" w:eastAsia="zh-CN"/>
        </w:rPr>
        <w:t xml:space="preserve"> </w:t>
      </w:r>
      <w:r>
        <w:rPr>
          <w:rFonts w:hint="default"/>
          <w:color w:val="auto"/>
          <w:highlight w:val="none"/>
          <w:lang w:val="en-US" w:eastAsia="zh-CN"/>
        </w:rPr>
        <w:t>μL、8</w:t>
      </w:r>
      <w:r>
        <w:rPr>
          <w:rFonts w:hint="eastAsia"/>
          <w:color w:val="auto"/>
          <w:highlight w:val="none"/>
          <w:lang w:val="en-US" w:eastAsia="zh-CN"/>
        </w:rPr>
        <w:t xml:space="preserve"> </w:t>
      </w:r>
      <w:r>
        <w:rPr>
          <w:rFonts w:hint="default"/>
          <w:color w:val="auto"/>
          <w:highlight w:val="none"/>
          <w:lang w:val="en-US" w:eastAsia="zh-CN"/>
        </w:rPr>
        <w:t>μL、12</w:t>
      </w:r>
      <w:r>
        <w:rPr>
          <w:rFonts w:hint="eastAsia"/>
          <w:color w:val="auto"/>
          <w:highlight w:val="none"/>
          <w:lang w:val="en-US" w:eastAsia="zh-CN"/>
        </w:rPr>
        <w:t xml:space="preserve"> </w:t>
      </w:r>
      <w:r>
        <w:rPr>
          <w:rFonts w:hint="default"/>
          <w:color w:val="auto"/>
          <w:highlight w:val="none"/>
          <w:lang w:val="en-US" w:eastAsia="zh-CN"/>
        </w:rPr>
        <w:t>μL、16</w:t>
      </w:r>
      <w:r>
        <w:rPr>
          <w:rFonts w:hint="eastAsia"/>
          <w:color w:val="auto"/>
          <w:highlight w:val="none"/>
          <w:lang w:val="en-US" w:eastAsia="zh-CN"/>
        </w:rPr>
        <w:t xml:space="preserve"> </w:t>
      </w:r>
      <w:r>
        <w:rPr>
          <w:rFonts w:hint="default"/>
          <w:color w:val="auto"/>
          <w:highlight w:val="none"/>
          <w:lang w:val="en-US" w:eastAsia="zh-CN"/>
        </w:rPr>
        <w:t>μL、20 μL</w:t>
      </w:r>
      <w:r>
        <w:rPr>
          <w:rFonts w:hint="eastAsia"/>
          <w:color w:val="auto"/>
          <w:highlight w:val="none"/>
          <w:lang w:val="en-US" w:eastAsia="zh-CN"/>
        </w:rPr>
        <w:t>的体积依次加入</w:t>
      </w:r>
      <w:r>
        <w:rPr>
          <w:rFonts w:hint="default"/>
          <w:color w:val="auto"/>
          <w:highlight w:val="none"/>
          <w:lang w:val="en-US" w:eastAsia="zh-CN"/>
        </w:rPr>
        <w:t>96孔板的标准品孔中，</w:t>
      </w:r>
      <w:r>
        <w:rPr>
          <w:rFonts w:hint="eastAsia"/>
          <w:color w:val="auto"/>
          <w:highlight w:val="none"/>
          <w:lang w:val="en-US" w:eastAsia="zh-CN"/>
        </w:rPr>
        <w:t>每孔用</w:t>
      </w:r>
      <w:r>
        <w:rPr>
          <w:rFonts w:hint="default"/>
          <w:color w:val="auto"/>
          <w:highlight w:val="none"/>
          <w:lang w:val="en-US" w:eastAsia="zh-CN"/>
        </w:rPr>
        <w:t>标准品稀释液补足</w:t>
      </w:r>
      <w:r>
        <w:rPr>
          <w:rFonts w:hint="eastAsia"/>
          <w:color w:val="auto"/>
          <w:highlight w:val="none"/>
          <w:lang w:val="en-US" w:eastAsia="zh-CN"/>
        </w:rPr>
        <w:t>至</w:t>
      </w:r>
      <w:r>
        <w:rPr>
          <w:rFonts w:hint="default"/>
          <w:color w:val="auto"/>
          <w:highlight w:val="none"/>
          <w:lang w:val="en-US" w:eastAsia="zh-CN"/>
        </w:rPr>
        <w:t>20 μL，</w:t>
      </w:r>
      <w:r>
        <w:rPr>
          <w:rFonts w:hint="eastAsia"/>
          <w:color w:val="auto"/>
          <w:highlight w:val="none"/>
          <w:lang w:val="en-US" w:eastAsia="zh-CN"/>
        </w:rPr>
        <w:t>所得</w:t>
      </w:r>
      <w:r>
        <w:rPr>
          <w:rFonts w:hint="default"/>
          <w:color w:val="auto"/>
          <w:highlight w:val="none"/>
          <w:lang w:val="en-US" w:eastAsia="zh-CN"/>
        </w:rPr>
        <w:t>标准品浓度分别为0</w:t>
      </w:r>
      <w:r>
        <w:rPr>
          <w:rFonts w:hint="eastAsia"/>
          <w:color w:val="auto"/>
          <w:highlight w:val="none"/>
          <w:lang w:val="en-US" w:eastAsia="zh-CN"/>
        </w:rPr>
        <w:t xml:space="preserve"> mg/mL</w:t>
      </w:r>
      <w:r>
        <w:rPr>
          <w:rFonts w:hint="default"/>
          <w:color w:val="auto"/>
          <w:highlight w:val="none"/>
          <w:lang w:val="en-US" w:eastAsia="zh-CN"/>
        </w:rPr>
        <w:t>、0.025</w:t>
      </w:r>
      <w:r>
        <w:rPr>
          <w:rFonts w:hint="eastAsia"/>
          <w:color w:val="auto"/>
          <w:highlight w:val="none"/>
          <w:lang w:val="en-US" w:eastAsia="zh-CN"/>
        </w:rPr>
        <w:t xml:space="preserve"> mg/mL</w:t>
      </w:r>
      <w:r>
        <w:rPr>
          <w:rFonts w:hint="default"/>
          <w:color w:val="auto"/>
          <w:highlight w:val="none"/>
          <w:lang w:val="en-US" w:eastAsia="zh-CN"/>
        </w:rPr>
        <w:t>、0.05</w:t>
      </w:r>
      <w:r>
        <w:rPr>
          <w:rFonts w:hint="eastAsia"/>
          <w:color w:val="auto"/>
          <w:highlight w:val="none"/>
          <w:lang w:val="en-US" w:eastAsia="zh-CN"/>
        </w:rPr>
        <w:t xml:space="preserve"> mg/mL</w:t>
      </w:r>
      <w:r>
        <w:rPr>
          <w:rFonts w:hint="default"/>
          <w:color w:val="auto"/>
          <w:highlight w:val="none"/>
          <w:lang w:val="en-US" w:eastAsia="zh-CN"/>
        </w:rPr>
        <w:t>、0.1</w:t>
      </w:r>
      <w:r>
        <w:rPr>
          <w:rFonts w:hint="eastAsia"/>
          <w:color w:val="auto"/>
          <w:highlight w:val="none"/>
          <w:lang w:val="en-US" w:eastAsia="zh-CN"/>
        </w:rPr>
        <w:t xml:space="preserve"> mg/mL</w:t>
      </w:r>
      <w:r>
        <w:rPr>
          <w:rFonts w:hint="default"/>
          <w:color w:val="auto"/>
          <w:highlight w:val="none"/>
          <w:lang w:val="en-US" w:eastAsia="zh-CN"/>
        </w:rPr>
        <w:t>、0.2</w:t>
      </w:r>
      <w:r>
        <w:rPr>
          <w:rFonts w:hint="eastAsia"/>
          <w:color w:val="auto"/>
          <w:highlight w:val="none"/>
          <w:lang w:val="en-US" w:eastAsia="zh-CN"/>
        </w:rPr>
        <w:t xml:space="preserve"> mg/mL</w:t>
      </w:r>
      <w:r>
        <w:rPr>
          <w:rFonts w:hint="default"/>
          <w:color w:val="auto"/>
          <w:highlight w:val="none"/>
          <w:lang w:val="en-US" w:eastAsia="zh-CN"/>
        </w:rPr>
        <w:t>、0.3</w:t>
      </w:r>
      <w:r>
        <w:rPr>
          <w:rFonts w:hint="eastAsia"/>
          <w:color w:val="auto"/>
          <w:highlight w:val="none"/>
          <w:lang w:val="en-US" w:eastAsia="zh-CN"/>
        </w:rPr>
        <w:t xml:space="preserve"> mg/mL</w:t>
      </w:r>
      <w:r>
        <w:rPr>
          <w:rFonts w:hint="default"/>
          <w:color w:val="auto"/>
          <w:highlight w:val="none"/>
          <w:lang w:val="en-US" w:eastAsia="zh-CN"/>
        </w:rPr>
        <w:t>、0.4</w:t>
      </w:r>
      <w:r>
        <w:rPr>
          <w:rFonts w:hint="eastAsia"/>
          <w:color w:val="auto"/>
          <w:highlight w:val="none"/>
          <w:lang w:val="en-US" w:eastAsia="zh-CN"/>
        </w:rPr>
        <w:t xml:space="preserve"> mg/mL</w:t>
      </w:r>
      <w:r>
        <w:rPr>
          <w:rFonts w:hint="default"/>
          <w:color w:val="auto"/>
          <w:highlight w:val="none"/>
          <w:lang w:val="en-US" w:eastAsia="zh-CN"/>
        </w:rPr>
        <w:t>、0.5 mg/mL。</w:t>
      </w:r>
    </w:p>
    <w:p>
      <w:pPr>
        <w:pStyle w:val="34"/>
        <w:tabs>
          <w:tab w:val="center" w:pos="4201"/>
          <w:tab w:val="right" w:leader="dot" w:pos="9298"/>
        </w:tabs>
        <w:rPr>
          <w:rFonts w:hint="default"/>
          <w:color w:val="auto"/>
          <w:highlight w:val="none"/>
          <w:lang w:val="en-US" w:eastAsia="zh-CN"/>
        </w:rPr>
      </w:pPr>
      <w:r>
        <w:rPr>
          <w:rFonts w:hint="eastAsia"/>
          <w:color w:val="auto"/>
          <w:highlight w:val="none"/>
          <w:lang w:val="en-US" w:eastAsia="zh-CN"/>
        </w:rPr>
        <w:t>在样品孔中，</w:t>
      </w:r>
      <w:r>
        <w:rPr>
          <w:rFonts w:hint="default"/>
          <w:color w:val="auto"/>
          <w:highlight w:val="none"/>
          <w:lang w:val="en-US" w:eastAsia="zh-CN"/>
        </w:rPr>
        <w:t>每孔加</w:t>
      </w:r>
      <w:r>
        <w:rPr>
          <w:rFonts w:hint="eastAsia"/>
          <w:color w:val="auto"/>
          <w:highlight w:val="none"/>
          <w:lang w:val="en-US" w:eastAsia="zh-CN"/>
        </w:rPr>
        <w:t>入</w:t>
      </w:r>
      <w:r>
        <w:rPr>
          <w:rFonts w:hint="default"/>
          <w:color w:val="auto"/>
          <w:highlight w:val="none"/>
          <w:lang w:val="en-US" w:eastAsia="zh-CN"/>
        </w:rPr>
        <w:t>20 μL待测样品</w:t>
      </w:r>
      <w:r>
        <w:rPr>
          <w:rFonts w:hint="eastAsia"/>
          <w:color w:val="auto"/>
          <w:highlight w:val="none"/>
          <w:lang w:val="en-US" w:eastAsia="zh-CN"/>
        </w:rPr>
        <w:t>，</w:t>
      </w:r>
      <w:r>
        <w:rPr>
          <w:rFonts w:hint="default"/>
          <w:color w:val="auto"/>
          <w:highlight w:val="none"/>
          <w:lang w:val="en-US" w:eastAsia="zh-CN"/>
        </w:rPr>
        <w:t>每组样品</w:t>
      </w:r>
      <w:r>
        <w:rPr>
          <w:rFonts w:hint="eastAsia"/>
          <w:color w:val="auto"/>
          <w:highlight w:val="none"/>
          <w:lang w:val="en-US" w:eastAsia="zh-CN"/>
        </w:rPr>
        <w:t>设四个复孔。</w:t>
      </w:r>
    </w:p>
    <w:p>
      <w:pPr>
        <w:pStyle w:val="34"/>
        <w:tabs>
          <w:tab w:val="center" w:pos="4201"/>
          <w:tab w:val="right" w:leader="dot" w:pos="9298"/>
        </w:tabs>
        <w:rPr>
          <w:rFonts w:hint="default"/>
          <w:color w:val="auto"/>
          <w:highlight w:val="none"/>
          <w:lang w:val="en-US" w:eastAsia="zh-CN"/>
        </w:rPr>
      </w:pPr>
      <w:r>
        <w:rPr>
          <w:rFonts w:hint="eastAsia"/>
          <w:color w:val="auto"/>
          <w:highlight w:val="none"/>
          <w:lang w:val="en-US" w:eastAsia="zh-CN"/>
        </w:rPr>
        <w:t>随后，向</w:t>
      </w:r>
      <w:r>
        <w:rPr>
          <w:rFonts w:hint="default"/>
          <w:color w:val="auto"/>
          <w:highlight w:val="none"/>
          <w:lang w:val="en-US" w:eastAsia="zh-CN"/>
        </w:rPr>
        <w:t>各孔加入200 μL</w:t>
      </w:r>
      <w:r>
        <w:rPr>
          <w:rFonts w:hint="eastAsia"/>
          <w:color w:val="auto"/>
          <w:highlight w:val="none"/>
          <w:lang w:val="en-US" w:eastAsia="zh-CN"/>
        </w:rPr>
        <w:t xml:space="preserve"> </w:t>
      </w:r>
      <w:r>
        <w:rPr>
          <w:rFonts w:hint="default"/>
          <w:color w:val="auto"/>
          <w:highlight w:val="none"/>
          <w:lang w:val="en-US" w:eastAsia="zh-CN"/>
        </w:rPr>
        <w:t>BCA工作液，</w:t>
      </w:r>
      <w:r>
        <w:rPr>
          <w:rFonts w:hint="eastAsia"/>
          <w:color w:val="auto"/>
          <w:highlight w:val="none"/>
          <w:lang w:val="en-US" w:eastAsia="zh-CN"/>
        </w:rPr>
        <w:t>于</w:t>
      </w:r>
      <w:r>
        <w:rPr>
          <w:rFonts w:hint="default"/>
          <w:color w:val="auto"/>
          <w:highlight w:val="none"/>
          <w:lang w:val="en-US" w:eastAsia="zh-CN"/>
        </w:rPr>
        <w:t>37℃</w:t>
      </w:r>
      <w:r>
        <w:rPr>
          <w:rFonts w:hint="eastAsia"/>
          <w:color w:val="auto"/>
          <w:highlight w:val="none"/>
          <w:lang w:val="en-US" w:eastAsia="zh-CN"/>
        </w:rPr>
        <w:t>条件下</w:t>
      </w:r>
      <w:r>
        <w:rPr>
          <w:rFonts w:hint="default"/>
          <w:color w:val="auto"/>
          <w:highlight w:val="none"/>
          <w:lang w:val="en-US" w:eastAsia="zh-CN"/>
        </w:rPr>
        <w:t>放置20</w:t>
      </w:r>
      <w:r>
        <w:rPr>
          <w:rFonts w:hint="eastAsia"/>
          <w:color w:val="auto"/>
          <w:highlight w:val="none"/>
          <w:lang w:val="en-US" w:eastAsia="zh-CN"/>
        </w:rPr>
        <w:t xml:space="preserve"> min</w:t>
      </w:r>
      <w:r>
        <w:rPr>
          <w:rFonts w:hint="default"/>
          <w:color w:val="auto"/>
          <w:highlight w:val="none"/>
          <w:lang w:val="en-US" w:eastAsia="zh-CN"/>
        </w:rPr>
        <w:t>。</w:t>
      </w:r>
    </w:p>
    <w:p>
      <w:pPr>
        <w:pStyle w:val="34"/>
        <w:tabs>
          <w:tab w:val="center" w:pos="4201"/>
          <w:tab w:val="right" w:leader="dot" w:pos="9298"/>
        </w:tabs>
        <w:rPr>
          <w:rFonts w:hint="default"/>
          <w:color w:val="auto"/>
          <w:highlight w:val="none"/>
          <w:lang w:val="en-US" w:eastAsia="zh-CN"/>
        </w:rPr>
      </w:pPr>
      <w:r>
        <w:rPr>
          <w:rFonts w:hint="eastAsia"/>
          <w:color w:val="auto"/>
          <w:highlight w:val="none"/>
          <w:lang w:val="en-US" w:eastAsia="zh-CN"/>
        </w:rPr>
        <w:t>最后，</w:t>
      </w:r>
      <w:r>
        <w:rPr>
          <w:rFonts w:hint="default"/>
          <w:color w:val="auto"/>
          <w:highlight w:val="none"/>
          <w:lang w:val="en-US" w:eastAsia="zh-CN"/>
        </w:rPr>
        <w:t>用酶标仪测定562 nm</w:t>
      </w:r>
      <w:r>
        <w:rPr>
          <w:rFonts w:hint="eastAsia"/>
          <w:color w:val="auto"/>
          <w:highlight w:val="none"/>
          <w:lang w:val="en-US" w:eastAsia="zh-CN"/>
        </w:rPr>
        <w:t>波长处的吸光度值，或直接观察颜色变化。</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颜色加深或吸光度值升高，表明档案收藏盒中含有蛋白质。</w:t>
      </w:r>
    </w:p>
    <w:p>
      <w:pPr>
        <w:pStyle w:val="34"/>
        <w:tabs>
          <w:tab w:val="center" w:pos="4201"/>
          <w:tab w:val="right" w:leader="dot" w:pos="9298"/>
        </w:tabs>
        <w:rPr>
          <w:rFonts w:hint="eastAsia"/>
          <w:color w:val="auto"/>
          <w:highlight w:val="none"/>
          <w:lang w:val="en-US" w:eastAsia="zh-CN"/>
        </w:rPr>
      </w:pPr>
    </w:p>
    <w:p>
      <w:pPr>
        <w:pStyle w:val="37"/>
        <w:numPr>
          <w:ilvl w:val="0"/>
          <w:numId w:val="0"/>
        </w:numPr>
        <w:jc w:val="both"/>
        <w:rPr>
          <w:rFonts w:hint="default"/>
          <w:color w:val="auto"/>
          <w:highlight w:val="none"/>
          <w:lang w:val="en-US" w:eastAsia="zh-CN"/>
        </w:rPr>
        <w:sectPr>
          <w:footerReference r:id="rId13" w:type="default"/>
          <w:pgSz w:w="11906" w:h="16838"/>
          <w:pgMar w:top="1440" w:right="1800" w:bottom="1440" w:left="1800" w:header="851" w:footer="992" w:gutter="0"/>
          <w:pgNumType w:start="1"/>
          <w:cols w:space="425" w:num="1"/>
          <w:docGrid w:type="lines" w:linePitch="312" w:charSpace="0"/>
        </w:sectPr>
      </w:pPr>
      <w:r>
        <w:rPr>
          <w:color w:val="auto"/>
          <w:highlight w:val="none"/>
        </w:rPr>
        <w:t>检测所需的样品制备与工作液配制方法应符合附录A的规定。</w:t>
      </w:r>
    </w:p>
    <w:p>
      <w:pPr>
        <w:pStyle w:val="34"/>
        <w:tabs>
          <w:tab w:val="center" w:pos="4201"/>
          <w:tab w:val="right" w:leader="dot" w:pos="9298"/>
        </w:tabs>
        <w:jc w:val="center"/>
        <w:outlineLvl w:val="0"/>
        <w:rPr>
          <w:rFonts w:ascii="黑体" w:hAnsi="黑体" w:eastAsia="黑体" w:cs="黑体"/>
          <w:color w:val="auto"/>
          <w:highlight w:val="none"/>
        </w:rPr>
      </w:pPr>
      <w:bookmarkStart w:id="29" w:name="_Toc20332"/>
      <w:bookmarkStart w:id="30" w:name="_Toc23906"/>
      <w:r>
        <w:rPr>
          <w:rFonts w:hint="eastAsia" w:ascii="黑体" w:hAnsi="黑体" w:eastAsia="黑体" w:cs="黑体"/>
          <w:color w:val="auto"/>
          <w:highlight w:val="none"/>
        </w:rPr>
        <w:t>附 录 A</w:t>
      </w:r>
      <w:bookmarkEnd w:id="29"/>
    </w:p>
    <w:p>
      <w:pPr>
        <w:pStyle w:val="34"/>
        <w:tabs>
          <w:tab w:val="center" w:pos="4201"/>
          <w:tab w:val="right" w:leader="dot" w:pos="9298"/>
        </w:tabs>
        <w:jc w:val="center"/>
        <w:outlineLvl w:val="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（规范性）</w:t>
      </w:r>
      <w:bookmarkEnd w:id="30"/>
    </w:p>
    <w:p>
      <w:pPr>
        <w:pStyle w:val="34"/>
        <w:tabs>
          <w:tab w:val="center" w:pos="4201"/>
          <w:tab w:val="right" w:leader="dot" w:pos="9298"/>
        </w:tabs>
        <w:jc w:val="center"/>
        <w:outlineLvl w:val="0"/>
        <w:rPr>
          <w:rFonts w:hint="eastAsia" w:ascii="黑体" w:hAnsi="黑体" w:eastAsia="黑体" w:cs="黑体"/>
          <w:color w:val="auto"/>
          <w:highlight w:val="none"/>
          <w:lang w:val="en-US" w:eastAsia="zh-CN"/>
        </w:rPr>
      </w:pPr>
      <w:bookmarkStart w:id="31" w:name="_Toc4957"/>
      <w:r>
        <w:rPr>
          <w:rFonts w:hint="eastAsia" w:ascii="黑体" w:hAnsi="黑体" w:eastAsia="黑体" w:cs="黑体"/>
          <w:color w:val="auto"/>
          <w:highlight w:val="none"/>
          <w:lang w:val="en-US" w:eastAsia="zh-CN"/>
        </w:rPr>
        <w:t>样品制备与工作液配制</w:t>
      </w:r>
      <w:bookmarkEnd w:id="31"/>
    </w:p>
    <w:p>
      <w:pPr>
        <w:pStyle w:val="36"/>
        <w:numPr>
          <w:ilvl w:val="1"/>
          <w:numId w:val="0"/>
        </w:numPr>
        <w:outlineLvl w:val="0"/>
        <w:rPr>
          <w:rFonts w:hint="default" w:hAnsi="黑体" w:cs="黑体"/>
          <w:color w:val="auto"/>
          <w:highlight w:val="none"/>
        </w:rPr>
      </w:pPr>
      <w:r>
        <w:rPr>
          <w:rFonts w:hint="eastAsia" w:hAnsi="黑体" w:cs="黑体"/>
          <w:color w:val="auto"/>
          <w:highlight w:val="none"/>
          <w:lang w:val="en-US" w:eastAsia="zh-CN"/>
        </w:rPr>
        <w:t xml:space="preserve">A.1 </w:t>
      </w:r>
      <w:r>
        <w:rPr>
          <w:rFonts w:hint="default" w:hAnsi="黑体" w:cs="黑体"/>
          <w:color w:val="auto"/>
          <w:highlight w:val="none"/>
        </w:rPr>
        <w:t>待测样品的制备</w:t>
      </w:r>
    </w:p>
    <w:p>
      <w:pPr>
        <w:pStyle w:val="34"/>
        <w:rPr>
          <w:rFonts w:hint="eastAsia" w:eastAsia="宋体"/>
          <w:color w:val="auto"/>
          <w:highlight w:val="none"/>
          <w:lang w:eastAsia="zh-CN"/>
        </w:rPr>
      </w:pPr>
      <w:r>
        <w:rPr>
          <w:rFonts w:hint="default"/>
          <w:color w:val="auto"/>
          <w:highlight w:val="none"/>
        </w:rPr>
        <w:t>待测样品的制备</w:t>
      </w:r>
      <w:r>
        <w:rPr>
          <w:rFonts w:hint="eastAsia"/>
          <w:color w:val="auto"/>
          <w:highlight w:val="none"/>
          <w:lang w:eastAsia="zh-CN"/>
        </w:rPr>
        <w:t>应符合以下要求：</w:t>
      </w:r>
    </w:p>
    <w:p>
      <w:pPr>
        <w:pStyle w:val="37"/>
        <w:numPr>
          <w:ilvl w:val="0"/>
          <w:numId w:val="6"/>
        </w:numPr>
        <w:rPr>
          <w:rFonts w:hint="default"/>
          <w:color w:val="auto"/>
          <w:highlight w:val="none"/>
          <w:lang w:val="en-US" w:eastAsia="zh-CN"/>
        </w:rPr>
      </w:pPr>
      <w:r>
        <w:rPr>
          <w:rFonts w:hint="default"/>
          <w:color w:val="auto"/>
          <w:highlight w:val="none"/>
          <w:lang w:val="en-US" w:eastAsia="zh-CN"/>
        </w:rPr>
        <w:t>分别称取0.15 g</w:t>
      </w:r>
      <w:r>
        <w:rPr>
          <w:rFonts w:hint="eastAsia"/>
          <w:color w:val="auto"/>
          <w:highlight w:val="none"/>
          <w:lang w:val="en-US" w:eastAsia="zh-CN"/>
        </w:rPr>
        <w:t>两</w:t>
      </w:r>
      <w:r>
        <w:rPr>
          <w:rFonts w:hint="default"/>
          <w:color w:val="auto"/>
          <w:highlight w:val="none"/>
          <w:lang w:val="en-US" w:eastAsia="zh-CN"/>
        </w:rPr>
        <w:t>种待测纸质档案</w:t>
      </w:r>
      <w:r>
        <w:rPr>
          <w:rFonts w:hint="eastAsia"/>
          <w:color w:val="auto"/>
          <w:highlight w:val="none"/>
          <w:lang w:val="en-US" w:eastAsia="zh-CN"/>
        </w:rPr>
        <w:t>收藏</w:t>
      </w:r>
      <w:r>
        <w:rPr>
          <w:rFonts w:hint="default"/>
          <w:color w:val="auto"/>
          <w:highlight w:val="none"/>
          <w:lang w:val="en-US" w:eastAsia="zh-CN"/>
        </w:rPr>
        <w:t>盒的纸板，裁剪后置于1.5 mL EP管中，各加入1 mL超纯水</w:t>
      </w:r>
      <w:r>
        <w:rPr>
          <w:rFonts w:hint="eastAsia"/>
          <w:color w:val="auto"/>
          <w:highlight w:val="none"/>
          <w:lang w:val="en-US" w:eastAsia="zh-CN"/>
        </w:rPr>
        <w:t>；</w:t>
      </w:r>
    </w:p>
    <w:p>
      <w:pPr>
        <w:pStyle w:val="37"/>
        <w:numPr>
          <w:ilvl w:val="0"/>
          <w:numId w:val="6"/>
        </w:numPr>
        <w:rPr>
          <w:rFonts w:hint="default"/>
          <w:color w:val="auto"/>
          <w:highlight w:val="none"/>
          <w:lang w:val="en-US" w:eastAsia="zh-CN"/>
        </w:rPr>
      </w:pPr>
      <w:r>
        <w:rPr>
          <w:rFonts w:hint="default"/>
          <w:color w:val="auto"/>
          <w:highlight w:val="none"/>
          <w:lang w:val="en-US" w:eastAsia="zh-CN"/>
        </w:rPr>
        <w:t>将标记好的EP管用封口膜密封，置于超声波清洗机中超声处理5 min，所得液体即为纸张悬液待测样品</w:t>
      </w:r>
      <w:r>
        <w:rPr>
          <w:rFonts w:hint="eastAsia"/>
          <w:color w:val="auto"/>
          <w:highlight w:val="none"/>
          <w:lang w:val="en-US" w:eastAsia="zh-CN"/>
        </w:rPr>
        <w:t>。</w:t>
      </w:r>
    </w:p>
    <w:p>
      <w:pPr>
        <w:pStyle w:val="36"/>
        <w:numPr>
          <w:ilvl w:val="1"/>
          <w:numId w:val="0"/>
        </w:numPr>
        <w:outlineLvl w:val="0"/>
        <w:rPr>
          <w:rFonts w:hint="default" w:hAnsi="黑体" w:cs="黑体"/>
          <w:color w:val="auto"/>
          <w:highlight w:val="none"/>
          <w:lang w:val="en-US" w:eastAsia="zh-CN"/>
        </w:rPr>
      </w:pPr>
      <w:r>
        <w:rPr>
          <w:rFonts w:hint="eastAsia" w:hAnsi="黑体" w:cs="黑体"/>
          <w:color w:val="auto"/>
          <w:highlight w:val="none"/>
          <w:lang w:val="en-US" w:eastAsia="zh-CN"/>
        </w:rPr>
        <w:t xml:space="preserve">A.2 </w:t>
      </w:r>
      <w:r>
        <w:rPr>
          <w:rFonts w:hint="default" w:hAnsi="黑体" w:cs="黑体"/>
          <w:color w:val="auto"/>
          <w:highlight w:val="none"/>
          <w:lang w:val="en-US" w:eastAsia="zh-CN"/>
        </w:rPr>
        <w:t>蛋白标准品的准备</w:t>
      </w:r>
    </w:p>
    <w:p>
      <w:pPr>
        <w:pStyle w:val="34"/>
        <w:rPr>
          <w:rFonts w:hint="eastAsia"/>
          <w:color w:val="auto"/>
          <w:highlight w:val="none"/>
          <w:lang w:eastAsia="zh-CN"/>
        </w:rPr>
      </w:pPr>
      <w:r>
        <w:rPr>
          <w:rFonts w:hint="eastAsia"/>
          <w:color w:val="auto"/>
          <w:highlight w:val="none"/>
          <w:lang w:eastAsia="zh-CN"/>
        </w:rPr>
        <w:t>蛋白标准品的准备应符合以下要求：</w:t>
      </w:r>
    </w:p>
    <w:p>
      <w:pPr>
        <w:pStyle w:val="37"/>
        <w:numPr>
          <w:ilvl w:val="0"/>
          <w:numId w:val="7"/>
        </w:numPr>
        <w:rPr>
          <w:rFonts w:hint="default"/>
          <w:color w:val="auto"/>
          <w:highlight w:val="none"/>
          <w:lang w:val="en-US" w:eastAsia="zh-CN"/>
        </w:rPr>
      </w:pPr>
      <w:r>
        <w:rPr>
          <w:rFonts w:hint="default"/>
          <w:color w:val="auto"/>
          <w:highlight w:val="none"/>
          <w:lang w:val="en-US" w:eastAsia="zh-CN"/>
        </w:rPr>
        <w:t>取1.2 mL蛋白标准配制液加入到一管蛋白标准(30 mg BSA)中，充分溶解后配制成25 mg/mL的蛋白标准溶液</w:t>
      </w:r>
      <w:r>
        <w:rPr>
          <w:rFonts w:hint="eastAsia"/>
          <w:color w:val="auto"/>
          <w:highlight w:val="none"/>
          <w:lang w:val="en-US" w:eastAsia="zh-CN"/>
        </w:rPr>
        <w:t>；</w:t>
      </w:r>
    </w:p>
    <w:p>
      <w:pPr>
        <w:pStyle w:val="37"/>
        <w:numPr>
          <w:ilvl w:val="0"/>
          <w:numId w:val="7"/>
        </w:numPr>
        <w:rPr>
          <w:rFonts w:hint="default"/>
          <w:color w:val="auto"/>
          <w:highlight w:val="none"/>
          <w:lang w:val="en-US" w:eastAsia="zh-CN"/>
        </w:rPr>
      </w:pPr>
      <w:r>
        <w:rPr>
          <w:rFonts w:hint="default"/>
          <w:color w:val="auto"/>
          <w:highlight w:val="none"/>
          <w:lang w:val="en-US" w:eastAsia="zh-CN"/>
        </w:rPr>
        <w:t>取适量25 mg/mL蛋白标准溶液，PBS稀释至终浓度为0.5 mg/mL。</w:t>
      </w:r>
    </w:p>
    <w:p>
      <w:pPr>
        <w:pStyle w:val="36"/>
        <w:numPr>
          <w:ilvl w:val="1"/>
          <w:numId w:val="0"/>
        </w:numPr>
        <w:outlineLvl w:val="0"/>
        <w:rPr>
          <w:rFonts w:hint="default" w:hAnsi="黑体" w:cs="黑体"/>
          <w:color w:val="auto"/>
          <w:highlight w:val="none"/>
          <w:lang w:val="en-US" w:eastAsia="zh-CN"/>
        </w:rPr>
      </w:pPr>
      <w:r>
        <w:rPr>
          <w:rFonts w:hint="eastAsia" w:hAnsi="黑体" w:cs="黑体"/>
          <w:color w:val="auto"/>
          <w:highlight w:val="none"/>
          <w:lang w:val="en-US" w:eastAsia="zh-CN"/>
        </w:rPr>
        <w:t>A.3</w:t>
      </w:r>
      <w:r>
        <w:rPr>
          <w:rFonts w:hint="default" w:hAnsi="黑体" w:cs="黑体"/>
          <w:color w:val="auto"/>
          <w:highlight w:val="none"/>
          <w:lang w:val="en-US" w:eastAsia="zh-CN"/>
        </w:rPr>
        <w:t xml:space="preserve"> BCA工作液的配制</w:t>
      </w:r>
    </w:p>
    <w:p>
      <w:pPr>
        <w:pStyle w:val="34"/>
        <w:rPr>
          <w:rFonts w:hint="default"/>
          <w:color w:val="auto"/>
          <w:highlight w:val="none"/>
          <w:lang w:val="en-US" w:eastAsia="zh-CN"/>
        </w:rPr>
      </w:pPr>
      <w:r>
        <w:rPr>
          <w:rFonts w:hint="default"/>
          <w:color w:val="auto"/>
          <w:highlight w:val="none"/>
          <w:lang w:val="en-US" w:eastAsia="zh-CN"/>
        </w:rPr>
        <w:t>BCA工作液</w:t>
      </w:r>
      <w:r>
        <w:rPr>
          <w:rFonts w:hint="eastAsia"/>
          <w:color w:val="auto"/>
          <w:highlight w:val="none"/>
          <w:lang w:val="en-US" w:eastAsia="zh-CN"/>
        </w:rPr>
        <w:t>分为A液和B液。</w:t>
      </w:r>
      <w:r>
        <w:rPr>
          <w:rFonts w:hint="default"/>
          <w:color w:val="auto"/>
          <w:highlight w:val="none"/>
          <w:lang w:val="en-US" w:eastAsia="zh-CN"/>
        </w:rPr>
        <w:t>配制好的BCA工作液在室温条件下可稳定保存24小时。</w:t>
      </w:r>
    </w:p>
    <w:p>
      <w:pPr>
        <w:pStyle w:val="34"/>
        <w:rPr>
          <w:rFonts w:hint="default"/>
          <w:color w:val="auto"/>
          <w:highlight w:val="none"/>
          <w:lang w:val="en-US" w:eastAsia="zh-CN"/>
        </w:rPr>
      </w:pPr>
      <w:r>
        <w:rPr>
          <w:rFonts w:hint="default"/>
          <w:color w:val="auto"/>
          <w:highlight w:val="none"/>
          <w:lang w:val="en-US" w:eastAsia="zh-CN"/>
        </w:rPr>
        <w:t>BCA工作液的配制</w:t>
      </w:r>
      <w:r>
        <w:rPr>
          <w:rFonts w:hint="eastAsia"/>
          <w:color w:val="auto"/>
          <w:highlight w:val="none"/>
          <w:lang w:val="en-US" w:eastAsia="zh-CN"/>
        </w:rPr>
        <w:t>应符合以下要求：</w:t>
      </w:r>
    </w:p>
    <w:p>
      <w:pPr>
        <w:pStyle w:val="37"/>
        <w:numPr>
          <w:ilvl w:val="0"/>
          <w:numId w:val="8"/>
        </w:numPr>
        <w:rPr>
          <w:rFonts w:hint="default"/>
          <w:color w:val="auto"/>
          <w:highlight w:val="none"/>
          <w:lang w:val="en-US" w:eastAsia="zh-CN"/>
        </w:rPr>
      </w:pPr>
      <w:r>
        <w:rPr>
          <w:rFonts w:hint="eastAsia"/>
          <w:color w:val="auto"/>
          <w:highlight w:val="none"/>
          <w:lang w:val="en-US" w:eastAsia="zh-CN"/>
        </w:rPr>
        <w:t>A液（BCA碱性溶液）的配制：将10 g BCA、1.6 g Na₂C₄H₄O₆·2H₂O、4 g NaOH、9.5 g NaHCO₃溶于1 L超纯水中，充分搅拌至完全溶解。随后用NaOH溶液或固体NaHCO₃调节该溶液pH值至11.25；</w:t>
      </w:r>
    </w:p>
    <w:p>
      <w:pPr>
        <w:pStyle w:val="37"/>
        <w:numPr>
          <w:ilvl w:val="0"/>
          <w:numId w:val="8"/>
        </w:numPr>
        <w:rPr>
          <w:rFonts w:hint="default"/>
          <w:color w:val="auto"/>
          <w:highlight w:val="none"/>
          <w:lang w:val="en-US" w:eastAsia="zh-CN"/>
        </w:rPr>
      </w:pPr>
      <w:r>
        <w:rPr>
          <w:rFonts w:hint="default"/>
          <w:color w:val="auto"/>
          <w:highlight w:val="none"/>
          <w:lang w:val="en-US" w:eastAsia="zh-CN"/>
        </w:rPr>
        <w:t>B液的配制：将2 g CuSO₄·5H₂O溶于50 mL超纯水中，混匀</w:t>
      </w:r>
      <w:r>
        <w:rPr>
          <w:rFonts w:hint="eastAsia"/>
          <w:color w:val="auto"/>
          <w:highlight w:val="none"/>
          <w:lang w:val="en-US" w:eastAsia="zh-CN"/>
        </w:rPr>
        <w:t>；</w:t>
      </w:r>
    </w:p>
    <w:p>
      <w:pPr>
        <w:pStyle w:val="37"/>
        <w:numPr>
          <w:ilvl w:val="0"/>
          <w:numId w:val="8"/>
        </w:numPr>
        <w:rPr>
          <w:rFonts w:hint="default"/>
          <w:color w:val="auto"/>
          <w:highlight w:val="none"/>
          <w:lang w:val="en-US" w:eastAsia="zh-CN"/>
        </w:rPr>
      </w:pPr>
      <w:r>
        <w:rPr>
          <w:rFonts w:hint="default"/>
          <w:color w:val="auto"/>
          <w:highlight w:val="none"/>
          <w:lang w:val="en-US" w:eastAsia="zh-CN"/>
        </w:rPr>
        <w:t>工作液的配制与保存</w:t>
      </w:r>
      <w:r>
        <w:rPr>
          <w:rFonts w:hint="eastAsia"/>
          <w:color w:val="auto"/>
          <w:highlight w:val="none"/>
          <w:lang w:val="en-US" w:eastAsia="zh-CN"/>
        </w:rPr>
        <w:t>：</w:t>
      </w:r>
      <w:r>
        <w:rPr>
          <w:rFonts w:hint="default"/>
          <w:color w:val="auto"/>
          <w:highlight w:val="none"/>
          <w:lang w:val="en-US" w:eastAsia="zh-CN"/>
        </w:rPr>
        <w:t>根据样品数量，按体积比 A液 : B液 = 50 : 1的比例混合，配制适量BCA工作液，充分混匀。如</w:t>
      </w:r>
      <w:r>
        <w:rPr>
          <w:rFonts w:hint="eastAsia"/>
          <w:color w:val="auto"/>
          <w:highlight w:val="none"/>
          <w:lang w:val="en-US" w:eastAsia="zh-CN"/>
        </w:rPr>
        <w:t>：</w:t>
      </w:r>
      <w:r>
        <w:rPr>
          <w:rFonts w:hint="default"/>
          <w:color w:val="auto"/>
          <w:highlight w:val="none"/>
          <w:lang w:val="en-US" w:eastAsia="zh-CN"/>
        </w:rPr>
        <w:t>取5 mL A液，加入100 μL B液，混匀后即得约5.1 mL BCA工作液。</w:t>
      </w:r>
    </w:p>
    <w:p>
      <w:pPr>
        <w:pStyle w:val="37"/>
        <w:numPr>
          <w:ilvl w:val="0"/>
          <w:numId w:val="0"/>
        </w:numPr>
        <w:jc w:val="both"/>
        <w:rPr>
          <w:rFonts w:hint="default"/>
          <w:color w:val="auto"/>
          <w:highlight w:val="none"/>
          <w:lang w:val="en-US" w:eastAsia="zh-CN"/>
        </w:rPr>
      </w:pPr>
    </w:p>
    <w:p>
      <w:pPr>
        <w:pStyle w:val="34"/>
        <w:tabs>
          <w:tab w:val="center" w:pos="4201"/>
          <w:tab w:val="right" w:leader="dot" w:pos="9298"/>
        </w:tabs>
        <w:jc w:val="center"/>
        <w:outlineLvl w:val="0"/>
        <w:rPr>
          <w:rFonts w:hint="default" w:ascii="黑体" w:hAnsi="黑体" w:eastAsia="黑体" w:cs="黑体"/>
          <w:color w:val="auto"/>
          <w:highlight w:val="none"/>
          <w:lang w:val="en-US" w:eastAsia="zh-CN"/>
        </w:rPr>
      </w:pPr>
      <w:bookmarkStart w:id="32" w:name="_Toc28517"/>
      <w:r>
        <w:rPr>
          <w:rFonts w:hint="eastAsia" w:ascii="黑体" w:hAnsi="黑体" w:eastAsia="黑体" w:cs="黑体"/>
          <w:color w:val="auto"/>
          <w:highlight w:val="none"/>
          <w:lang w:val="en-US" w:eastAsia="zh-CN"/>
        </w:rPr>
        <w:t>附 录 B</w:t>
      </w:r>
    </w:p>
    <w:p>
      <w:pPr>
        <w:pStyle w:val="34"/>
        <w:tabs>
          <w:tab w:val="center" w:pos="4201"/>
          <w:tab w:val="right" w:leader="dot" w:pos="9298"/>
        </w:tabs>
        <w:jc w:val="center"/>
        <w:outlineLvl w:val="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（资料性）</w:t>
      </w:r>
      <w:bookmarkEnd w:id="32"/>
    </w:p>
    <w:p>
      <w:pPr>
        <w:pStyle w:val="34"/>
        <w:tabs>
          <w:tab w:val="center" w:pos="4201"/>
          <w:tab w:val="right" w:leader="dot" w:pos="9298"/>
        </w:tabs>
        <w:jc w:val="center"/>
        <w:outlineLvl w:val="0"/>
        <w:rPr>
          <w:rFonts w:hint="eastAsia" w:ascii="黑体" w:hAnsi="黑体" w:eastAsia="黑体" w:cs="黑体"/>
          <w:color w:val="auto"/>
          <w:highlight w:val="none"/>
          <w:lang w:val="en-US" w:eastAsia="zh-CN"/>
        </w:rPr>
      </w:pPr>
      <w:bookmarkStart w:id="33" w:name="_Toc6038"/>
      <w:r>
        <w:rPr>
          <w:rFonts w:hint="eastAsia" w:ascii="黑体" w:hAnsi="黑体" w:eastAsia="黑体" w:cs="黑体"/>
          <w:color w:val="auto"/>
          <w:highlight w:val="none"/>
          <w:lang w:val="en-US" w:eastAsia="zh-CN"/>
        </w:rPr>
        <w:t>档案常见的生物病害分类</w:t>
      </w:r>
      <w:bookmarkEnd w:id="33"/>
    </w:p>
    <w:p>
      <w:pPr>
        <w:pStyle w:val="36"/>
        <w:numPr>
          <w:ilvl w:val="1"/>
          <w:numId w:val="0"/>
        </w:numPr>
        <w:outlineLvl w:val="0"/>
        <w:rPr>
          <w:rFonts w:hint="eastAsia" w:hAnsi="黑体" w:cs="黑体"/>
          <w:color w:val="auto"/>
          <w:highlight w:val="none"/>
          <w:lang w:val="en-US" w:eastAsia="zh-CN"/>
        </w:rPr>
      </w:pPr>
      <w:r>
        <w:rPr>
          <w:rFonts w:hint="eastAsia" w:hAnsi="黑体" w:cs="黑体"/>
          <w:color w:val="auto"/>
          <w:highlight w:val="none"/>
          <w:lang w:val="en-US" w:eastAsia="zh-CN"/>
        </w:rPr>
        <w:t>B.1 常见档案害虫</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主要害虫包括但不限于：烟草甲、档案盗蠹、毛衣鱼、药材甲、黑胸散白蚁。</w:t>
      </w:r>
    </w:p>
    <w:p>
      <w:pPr>
        <w:pStyle w:val="34"/>
        <w:tabs>
          <w:tab w:val="center" w:pos="4201"/>
          <w:tab w:val="right" w:leader="dot" w:pos="9298"/>
        </w:tabs>
        <w:rPr>
          <w:rFonts w:hint="eastAsia"/>
          <w:color w:val="auto"/>
          <w:highlight w:val="none"/>
          <w:lang w:val="en-US" w:eastAsia="zh-CN"/>
        </w:rPr>
      </w:pPr>
      <w:r>
        <w:rPr>
          <w:rFonts w:hint="eastAsia"/>
          <w:color w:val="auto"/>
          <w:highlight w:val="none"/>
          <w:lang w:val="en-US" w:eastAsia="zh-CN"/>
        </w:rPr>
        <w:t>次要害虫包括但不限于：中华粉蠹、鳞毛粉盡、褐粉蠹、百怪皮蠢、黑毛皮蟲、小圆胸皮蠹、花斑皮蠢、中华圆皮蠢、日本蛛甲、拟裸蛛甲、宽脊小薪甲、椭园薪甲、瘦薪甲、头角薪甲、肩角薪甲、白背薪甲蛛角薪甲、湿薪甲、中沟小新甲、大眼薪甲、米扁虫、褐蕈甲、毛隐食甲、嗜卷虱啮、嗜虫虱啮、无色虱啮、皮氏虱啮、米象、梳头窃蠹、大理窃蠹、谷蠹。</w:t>
      </w:r>
    </w:p>
    <w:p>
      <w:pPr>
        <w:pStyle w:val="36"/>
        <w:numPr>
          <w:ilvl w:val="1"/>
          <w:numId w:val="0"/>
        </w:numPr>
        <w:outlineLvl w:val="0"/>
        <w:rPr>
          <w:rFonts w:hint="default" w:hAnsi="黑体" w:cs="黑体"/>
          <w:color w:val="auto"/>
          <w:highlight w:val="none"/>
          <w:lang w:val="en-US" w:eastAsia="zh-CN"/>
        </w:rPr>
      </w:pPr>
      <w:r>
        <w:rPr>
          <w:rFonts w:hint="eastAsia" w:hAnsi="黑体" w:cs="黑体"/>
          <w:color w:val="auto"/>
          <w:highlight w:val="none"/>
          <w:lang w:val="en-US" w:eastAsia="zh-CN"/>
        </w:rPr>
        <w:t>B.2 常见档案霉菌</w:t>
      </w:r>
    </w:p>
    <w:p>
      <w:pPr>
        <w:spacing w:line="360" w:lineRule="auto"/>
        <w:ind w:firstLine="420" w:firstLineChars="200"/>
        <w:rPr>
          <w:color w:val="auto"/>
          <w:highlight w:val="none"/>
        </w:rPr>
      </w:pPr>
      <w:r>
        <w:rPr>
          <w:rFonts w:hint="eastAsia" w:ascii="宋体" w:hAnsi="Times New Roman" w:eastAsia="宋体" w:cs="Times New Roman"/>
          <w:color w:val="auto"/>
          <w:kern w:val="0"/>
          <w:sz w:val="21"/>
          <w:szCs w:val="20"/>
          <w:highlight w:val="none"/>
          <w:lang w:val="en-US" w:eastAsia="zh-CN" w:bidi="ar-SA"/>
          <w14:ligatures w14:val="none"/>
        </w:rPr>
        <w:t>根霉、曲霉、青霉、毛霉、木霉、芽枝霉、毛壳霉等。</w:t>
      </w:r>
    </w:p>
    <w:p>
      <w:pPr>
        <w:pStyle w:val="38"/>
        <w:framePr w:vAnchor="text" w:hAnchor="page" w:x="4229" w:y="367"/>
        <w:jc w:val="left"/>
        <w:rPr>
          <w:color w:val="auto"/>
          <w:highlight w:val="none"/>
        </w:rPr>
      </w:pPr>
      <w:r>
        <w:rPr>
          <w:color w:val="auto"/>
          <w:highlight w:val="none"/>
        </w:rPr>
        <w:t>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PAGE   \* MERGEFORMAT</w:instrText>
    </w:r>
    <w:r>
      <w:fldChar w:fldCharType="separate"/>
    </w:r>
    <w:r>
      <w:rPr>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fldChar w:fldCharType="begin"/>
    </w:r>
    <w:r>
      <w:instrText xml:space="preserve">PAGE   \* MERGEFORMAT</w:instrText>
    </w:r>
    <w:r>
      <w:fldChar w:fldCharType="separate"/>
    </w:r>
    <w:r>
      <w:rPr>
        <w:lang w:val="zh-CN"/>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9"/>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fldChar w:fldCharType="begin"/>
    </w:r>
    <w:r>
      <w:instrText xml:space="preserve"> STYLEREF  标准文件_文件编号  \* MERGEFORMAT </w:instrText>
    </w:r>
    <w:r>
      <w:fldChar w:fldCharType="separate"/>
    </w:r>
    <w:r>
      <w:t>DA/T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STYLEREF  标准文件_文件编号  \* MERGEFORMAT </w:instrText>
    </w:r>
    <w:r>
      <w:fldChar w:fldCharType="separate"/>
    </w:r>
    <w:r>
      <w:t>DA/T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30"/>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FC91163"/>
    <w:multiLevelType w:val="multilevel"/>
    <w:tmpl w:val="1FC91163"/>
    <w:lvl w:ilvl="0" w:tentative="0">
      <w:start w:val="1"/>
      <w:numFmt w:val="decimal"/>
      <w:pStyle w:val="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6"/>
      <w:suff w:val="nothing"/>
      <w:lvlText w:val="%1.%2　"/>
      <w:lvlJc w:val="left"/>
      <w:pPr>
        <w:ind w:left="99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156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4C50F90"/>
    <w:multiLevelType w:val="multilevel"/>
    <w:tmpl w:val="44C50F90"/>
    <w:lvl w:ilvl="0" w:tentative="0">
      <w:start w:val="1"/>
      <w:numFmt w:val="lowerLetter"/>
      <w:pStyle w:val="3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657D3FBC"/>
    <w:multiLevelType w:val="multilevel"/>
    <w:tmpl w:val="657D3FBC"/>
    <w:lvl w:ilvl="0" w:tentative="0">
      <w:start w:val="1"/>
      <w:numFmt w:val="upperLetter"/>
      <w:pStyle w:val="33"/>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2"/>
      <w:suff w:val="nothing"/>
      <w:lvlText w:val="%1%2　"/>
      <w:lvlJc w:val="left"/>
      <w:pPr>
        <w:ind w:left="0" w:firstLine="0"/>
      </w:pPr>
      <w:rPr>
        <w:rFonts w:hint="eastAsia" w:ascii="黑体" w:eastAsia="黑体"/>
        <w:b w:val="0"/>
        <w:i w:val="0"/>
        <w:strike w:val="0"/>
        <w:sz w:val="21"/>
      </w:rPr>
    </w:lvl>
    <w:lvl w:ilvl="2" w:tentative="0">
      <w:start w:val="1"/>
      <w:numFmt w:val="decimal"/>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4"/>
  </w:num>
  <w:num w:numId="3">
    <w:abstractNumId w:val="3"/>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MGM0ZjJhNDFhODRiYjJlOTFmNjhjNDA1OTk2NmIifQ=="/>
  </w:docVars>
  <w:rsids>
    <w:rsidRoot w:val="00000000"/>
    <w:rsid w:val="030E4261"/>
    <w:rsid w:val="0420374C"/>
    <w:rsid w:val="05D37D8E"/>
    <w:rsid w:val="06275814"/>
    <w:rsid w:val="06BB6C91"/>
    <w:rsid w:val="073E49B1"/>
    <w:rsid w:val="161D4DD5"/>
    <w:rsid w:val="1A8247C7"/>
    <w:rsid w:val="1BB1432C"/>
    <w:rsid w:val="1BC818C9"/>
    <w:rsid w:val="1F246B03"/>
    <w:rsid w:val="206D333B"/>
    <w:rsid w:val="24510E54"/>
    <w:rsid w:val="27DE1917"/>
    <w:rsid w:val="29E862CF"/>
    <w:rsid w:val="2F9E14BB"/>
    <w:rsid w:val="2FAC78CF"/>
    <w:rsid w:val="307D6ABB"/>
    <w:rsid w:val="3ADF5546"/>
    <w:rsid w:val="3C18310C"/>
    <w:rsid w:val="3CBD5906"/>
    <w:rsid w:val="3DFF230D"/>
    <w:rsid w:val="43E3106F"/>
    <w:rsid w:val="455239D7"/>
    <w:rsid w:val="464623FD"/>
    <w:rsid w:val="4C0F187F"/>
    <w:rsid w:val="4C391F45"/>
    <w:rsid w:val="50B97AE5"/>
    <w:rsid w:val="59416736"/>
    <w:rsid w:val="5DDA5519"/>
    <w:rsid w:val="5DDD6DCD"/>
    <w:rsid w:val="5DFC73A4"/>
    <w:rsid w:val="62317EDD"/>
    <w:rsid w:val="640631B3"/>
    <w:rsid w:val="6418111A"/>
    <w:rsid w:val="689252F7"/>
    <w:rsid w:val="6914632C"/>
    <w:rsid w:val="69DA3A17"/>
    <w:rsid w:val="6C2F5DB4"/>
    <w:rsid w:val="6DBD6355"/>
    <w:rsid w:val="6EAE7250"/>
    <w:rsid w:val="71354F9C"/>
    <w:rsid w:val="71E95C61"/>
    <w:rsid w:val="77B34420"/>
    <w:rsid w:val="77E45A61"/>
    <w:rsid w:val="785160E3"/>
    <w:rsid w:val="CDCF9D10"/>
    <w:rsid w:val="F78EB4B8"/>
    <w:rsid w:val="FBFFF8B7"/>
    <w:rsid w:val="FC7B29F4"/>
    <w:rsid w:val="FE7F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160" w:afterAutospacing="0" w:line="276" w:lineRule="auto"/>
      <w:ind w:left="0" w:right="0"/>
    </w:pPr>
    <w:rPr>
      <w:rFonts w:hint="eastAsia" w:ascii="等线" w:hAnsi="等线" w:eastAsia="等线" w:cs="等线"/>
      <w:kern w:val="2"/>
      <w:sz w:val="22"/>
      <w:szCs w:val="24"/>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4">
    <w:name w:val="header"/>
    <w:basedOn w:val="1"/>
    <w:qFormat/>
    <w:uiPriority w:val="99"/>
    <w:pPr>
      <w:tabs>
        <w:tab w:val="center" w:pos="4153"/>
        <w:tab w:val="right" w:pos="8306"/>
      </w:tabs>
      <w:adjustRightInd/>
      <w:snapToGrid w:val="0"/>
      <w:jc w:val="center"/>
    </w:pPr>
    <w:rPr>
      <w:sz w:val="18"/>
      <w:szCs w:val="18"/>
    </w:rPr>
  </w:style>
  <w:style w:type="paragraph" w:styleId="5">
    <w:name w:val="toc 1"/>
    <w:basedOn w:val="1"/>
    <w:next w:val="1"/>
    <w:unhideWhenUsed/>
    <w:qFormat/>
    <w:uiPriority w:val="39"/>
    <w:rPr>
      <w:rFonts w:ascii="宋体"/>
    </w:rPr>
  </w:style>
  <w:style w:type="paragraph" w:styleId="6">
    <w:name w:val="toc 2"/>
    <w:basedOn w:val="1"/>
    <w:next w:val="1"/>
    <w:unhideWhenUsed/>
    <w:qFormat/>
    <w:uiPriority w:val="39"/>
    <w:pPr>
      <w:tabs>
        <w:tab w:val="right" w:leader="dot" w:pos="9344"/>
      </w:tabs>
      <w:spacing w:line="300" w:lineRule="exact"/>
      <w:ind w:left="210"/>
    </w:pPr>
    <w:rPr>
      <w:rFonts w:ascii="宋体"/>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qFormat/>
    <w:uiPriority w:val="99"/>
    <w:rPr>
      <w:rFonts w:ascii="宋体" w:hAnsi="Times New Roman" w:eastAsia="宋体"/>
      <w:color w:val="auto"/>
      <w:spacing w:val="0"/>
      <w:w w:val="100"/>
      <w:position w:val="0"/>
      <w:sz w:val="21"/>
      <w:u w:val="none"/>
      <w:vertAlign w:val="baseline"/>
    </w:rPr>
  </w:style>
  <w:style w:type="paragraph" w:customStyle="1" w:styleId="1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4">
    <w:name w:val="标准文件_文件编号"/>
    <w:basedOn w:val="15"/>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替换文件编号"/>
    <w:basedOn w:val="14"/>
    <w:qFormat/>
    <w:uiPriority w:val="0"/>
    <w:pPr>
      <w:spacing w:before="57"/>
    </w:pPr>
    <w:rPr>
      <w:sz w:val="21"/>
    </w:rPr>
  </w:style>
  <w:style w:type="paragraph" w:customStyle="1" w:styleId="1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8">
    <w:name w:val="标准文件_文件名称"/>
    <w:basedOn w:val="15"/>
    <w:next w:val="15"/>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0">
    <w:name w:val="其他发布日期"/>
    <w:basedOn w:val="21"/>
    <w:qFormat/>
    <w:uiPriority w:val="0"/>
    <w:pPr>
      <w:framePr w:w="3997" w:h="471" w:hRule="exact" w:hSpace="0" w:vSpace="181" w:vAnchor="page" w:hAnchor="page" w:x="1419" w:y="14097"/>
    </w:pPr>
  </w:style>
  <w:style w:type="paragraph" w:customStyle="1" w:styleId="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2">
    <w:name w:val="其他实施日期"/>
    <w:basedOn w:val="23"/>
    <w:qFormat/>
    <w:uiPriority w:val="0"/>
    <w:pPr>
      <w:framePr w:w="3997" w:h="471" w:hRule="exact" w:vSpace="181" w:vAnchor="page" w:hAnchor="page" w:x="7089" w:y="14097"/>
    </w:pPr>
  </w:style>
  <w:style w:type="paragraph" w:customStyle="1" w:styleId="23">
    <w:name w:val="实施日期"/>
    <w:basedOn w:val="21"/>
    <w:qFormat/>
    <w:uiPriority w:val="0"/>
    <w:pPr>
      <w:framePr w:hSpace="0" w:xAlign="right"/>
      <w:jc w:val="right"/>
    </w:pPr>
  </w:style>
  <w:style w:type="paragraph" w:customStyle="1" w:styleId="24">
    <w:name w:val="其他发布部门"/>
    <w:basedOn w:val="25"/>
    <w:qFormat/>
    <w:uiPriority w:val="0"/>
    <w:pPr>
      <w:framePr/>
      <w:spacing w:line="0" w:lineRule="atLeast"/>
    </w:pPr>
    <w:rPr>
      <w:rFonts w:ascii="黑体" w:eastAsia="黑体"/>
      <w:b w:val="0"/>
    </w:rPr>
  </w:style>
  <w:style w:type="paragraph" w:customStyle="1" w:styleId="25">
    <w:name w:val="发布部门"/>
    <w:next w:val="1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26">
    <w:name w:val="发布"/>
    <w:basedOn w:val="10"/>
    <w:qFormat/>
    <w:uiPriority w:val="0"/>
    <w:rPr>
      <w:rFonts w:ascii="黑体" w:eastAsia="黑体"/>
      <w:spacing w:val="85"/>
      <w:w w:val="100"/>
      <w:position w:val="3"/>
      <w:sz w:val="28"/>
      <w:szCs w:val="28"/>
    </w:rPr>
  </w:style>
  <w:style w:type="paragraph" w:customStyle="1" w:styleId="27">
    <w:name w:val="标准文件_目录标题"/>
    <w:basedOn w:val="1"/>
    <w:qFormat/>
    <w:uiPriority w:val="0"/>
    <w:pPr>
      <w:spacing w:after="150" w:afterLines="150" w:line="240" w:lineRule="auto"/>
      <w:jc w:val="center"/>
    </w:pPr>
    <w:rPr>
      <w:rFonts w:ascii="黑体" w:eastAsia="黑体"/>
      <w:sz w:val="32"/>
    </w:rPr>
  </w:style>
  <w:style w:type="paragraph" w:customStyle="1" w:styleId="2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30">
    <w:name w:val="标准文件_前言、引言标题"/>
    <w:next w:val="1"/>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3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32">
    <w:name w:val="标准文件_章标题"/>
    <w:next w:val="15"/>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3">
    <w:name w:val="标准文件_附录标识"/>
    <w:next w:val="15"/>
    <w:qFormat/>
    <w:uiPriority w:val="0"/>
    <w:pPr>
      <w:numPr>
        <w:ilvl w:val="0"/>
        <w:numId w:val="3"/>
      </w:numPr>
      <w:shd w:val="clear" w:color="FFFFFF" w:fill="FFFFFF"/>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34">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章标题"/>
    <w:next w:val="34"/>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6">
    <w:name w:val="一级条标题"/>
    <w:next w:val="34"/>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38">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3468</Words>
  <Characters>4121</Characters>
  <Lines>0</Lines>
  <Paragraphs>0</Paragraphs>
  <TotalTime>30</TotalTime>
  <ScaleCrop>false</ScaleCrop>
  <LinksUpToDate>false</LinksUpToDate>
  <CharactersWithSpaces>4289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2024-09-27T19:06:00Z</dcterms:created>
  <dc:creator>admin</dc:creator>
  <cp:lastModifiedBy>songxianglei</cp:lastModifiedBy>
  <dcterms:modified xsi:type="dcterms:W3CDTF">2026-04-15T14:58:51Z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AABFE21BB645CFF38BB1DD69285E87EE_43</vt:lpwstr>
  </property>
  <property fmtid="{D5CDD505-2E9C-101B-9397-08002B2CF9AE}" pid="4" name="KSOTemplateDocerSaveRecord">
    <vt:lpwstr>eyJoZGlkIjoiMzEwNTM5NzYwMDRjMzkwZTVkZjY2ODkwMGIxNGU0OTUiLCJ1c2VySWQiOiI1Nzc5ODU1NDkifQ==</vt:lpwstr>
  </property>
</Properties>
</file>