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wordWrap w:val="0"/>
        <w:rPr>
          <w:rFonts w:ascii="Times New Roman" w:hAnsi="Times New Roman"/>
        </w:rPr>
      </w:pPr>
      <w:r>
        <w:rPr>
          <w:rFonts w:hint="eastAsia"/>
        </w:rPr>
        <w:t>中华人民共和国档案行业标准</w:t>
      </w:r>
    </w:p>
    <w:p>
      <w:pPr>
        <w:pStyle w:val="43"/>
        <w:ind w:left="5250"/>
      </w:pPr>
      <w:r>
        <w:rPr>
          <w:rFonts w:ascii="Times New Roman"/>
        </w:rPr>
        <w:t>DA/</w:t>
      </w:r>
      <w:r>
        <w:rPr>
          <w:rFonts w:hint="eastAsia" w:ascii="Times New Roman"/>
        </w:rPr>
        <w:t>T</w:t>
      </w:r>
      <w:r>
        <w:t xml:space="preserve"> </w:t>
      </w:r>
      <w:bookmarkStart w:id="0" w:name="StdNo1"/>
      <w:r>
        <w:fldChar w:fldCharType="begin">
          <w:ffData>
            <w:name w:val="StdNo1"/>
            <w:enabled/>
            <w:calcOnExit w:val="0"/>
            <w:textInput>
              <w:default w:val="XXXXX"/>
            </w:textInput>
          </w:ffData>
        </w:fldChar>
      </w:r>
      <w:r>
        <w:instrText xml:space="preserve"> FORMTEXT </w:instrText>
      </w:r>
      <w:r>
        <w:fldChar w:fldCharType="separate"/>
      </w:r>
      <w:r>
        <w:t>XXXXX</w:t>
      </w:r>
      <w:r>
        <w:fldChar w:fldCharType="end"/>
      </w:r>
      <w:bookmarkEnd w:id="0"/>
      <w:r>
        <w:t>—</w:t>
      </w:r>
      <w:r>
        <w:rPr>
          <w:rFonts w:hint="eastAsia"/>
        </w:rPr>
        <w:t>20</w:t>
      </w:r>
      <w:r>
        <w:t>2X</w:t>
      </w:r>
    </w:p>
    <w:tbl>
      <w:tblPr>
        <w:tblStyle w:val="24"/>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shd w:val="clear" w:color="auto" w:fill="auto"/>
          </w:tcPr>
          <w:p>
            <w:pPr>
              <w:pStyle w:val="45"/>
              <w:wordWrap w:val="0"/>
            </w:pPr>
            <w:bookmarkStart w:id="1" w:name="DT"/>
            <w:r>
              <w:pict>
                <v:rect id="DT" o:spid="_x0000_s2050" o:spt="1" style="position:absolute;left:0pt;margin-left:372.8pt;margin-top:2.7pt;height:18pt;width:90pt;z-index:-251654144;mso-width-relative:page;mso-height-relative:page;" stroked="f" coordsize="21600,21600" o:gfxdata="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FgAAAGRycy9QSwECFAAUAAAACACHTuJAHmDyy9YAAAAIAQAADwAAAAAAAAABACAA&#10;AAA4AAAAZHJzL2Rvd25yZXYueG1sUEsBAhQAFAAAAAgAh07iQPB3zWiHAQAADwMAAA4AAAAAAAAA&#10;AQAgAAAAOwEAAGRycy9lMm9Eb2MueG1sUEsFBgAAAAAGAAYAWQEAADQFAAAAAA==&#10;">
                  <v:path/>
                  <v:fill focussize="0,0"/>
                  <v:stroke on="f"/>
                  <v:imagedata o:title=""/>
                  <o:lock v:ext="edit"/>
                </v:rect>
              </w:pict>
            </w:r>
            <w:bookmarkEnd w:id="1"/>
          </w:p>
        </w:tc>
      </w:tr>
    </w:tbl>
    <w:p>
      <w:pPr>
        <w:pStyle w:val="43"/>
        <w:wordWrap w:val="0"/>
        <w:ind w:left="5250"/>
      </w:pPr>
    </w:p>
    <w:p>
      <w:pPr>
        <w:pStyle w:val="43"/>
        <w:wordWrap w:val="0"/>
        <w:ind w:left="5250"/>
      </w:pPr>
    </w:p>
    <w:p>
      <w:pPr>
        <w:pStyle w:val="46"/>
        <w:wordWrap w:val="0"/>
        <w:rPr>
          <w:rFonts w:hAnsi="黑体"/>
        </w:rPr>
      </w:pPr>
    </w:p>
    <w:p>
      <w:pPr>
        <w:pStyle w:val="46"/>
        <w:wordWrap w:val="0"/>
        <w:rPr>
          <w:rFonts w:hAnsi="黑体"/>
        </w:rPr>
      </w:pPr>
      <w:r>
        <w:rPr>
          <w:rFonts w:hint="eastAsia" w:hAnsi="黑体"/>
        </w:rPr>
        <w:t>电子会计档案管理规范</w:t>
      </w:r>
    </w:p>
    <w:p>
      <w:pPr>
        <w:pStyle w:val="47"/>
        <w:wordWrap w:val="0"/>
        <w:rPr>
          <w:rFonts w:ascii="黑体" w:hAnsi="黑体"/>
        </w:rPr>
      </w:pPr>
      <w:r>
        <w:rPr>
          <w:rFonts w:ascii="黑体" w:hAnsi="黑体"/>
        </w:rPr>
        <w:t>Specification of</w:t>
      </w:r>
      <w:r>
        <w:rPr>
          <w:rFonts w:hint="eastAsia" w:ascii="黑体" w:hAnsi="黑体"/>
        </w:rPr>
        <w:t xml:space="preserve"> </w:t>
      </w:r>
      <w:r>
        <w:rPr>
          <w:rFonts w:ascii="黑体" w:hAnsi="黑体"/>
        </w:rPr>
        <w:t>electronic accounting archives</w:t>
      </w:r>
      <w:r>
        <w:rPr>
          <w:rFonts w:hint="eastAsia" w:ascii="黑体" w:hAnsi="黑体"/>
        </w:rPr>
        <w:t xml:space="preserve"> </w:t>
      </w:r>
      <w:r>
        <w:rPr>
          <w:rFonts w:ascii="黑体" w:hAnsi="黑体"/>
        </w:rPr>
        <w:t xml:space="preserve">management </w:t>
      </w:r>
    </w:p>
    <w:p>
      <w:pPr>
        <w:pStyle w:val="47"/>
        <w:wordWrap w:val="0"/>
        <w:spacing w:before="0" w:line="240" w:lineRule="auto"/>
        <w:rPr>
          <w:rFonts w:ascii="黑体" w:hAnsi="黑体"/>
        </w:rPr>
      </w:pPr>
    </w:p>
    <w:tbl>
      <w:tblPr>
        <w:tblStyle w:val="24"/>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48"/>
              <w:wordWrap w:val="0"/>
            </w:pPr>
            <w:bookmarkStart w:id="2" w:name="YZBS"/>
            <w:r>
              <w:fldChar w:fldCharType="begin">
                <w:ffData>
                  <w:name w:val="YZBS"/>
                  <w:enabled/>
                  <w:calcOnExit w:val="0"/>
                  <w:textInput>
                    <w:default w:val="点击此处添加与国际标准一致性程度的标识"/>
                  </w:textInput>
                </w:ffData>
              </w:fldChar>
            </w:r>
            <w:r>
              <w:instrText xml:space="preserve"> FORMTEXT </w:instrText>
            </w:r>
            <w:r>
              <w:fldChar w:fldCharType="separate"/>
            </w:r>
            <w:r>
              <w:t>     </w:t>
            </w:r>
            <w:r>
              <w:fldChar w:fldCharType="end"/>
            </w:r>
            <w:bookmarkEnd w:id="2"/>
          </w:p>
          <w:p>
            <w:pPr>
              <w:pStyle w:val="48"/>
              <w:wordWrap w:val="0"/>
            </w:pPr>
            <w:r>
              <w:pict>
                <v:rect id="LB" o:spid="_x0000_s2051" o:spt="1" style="position:absolute;left:0pt;margin-left:193.3pt;margin-top:20.15pt;height:24pt;width:100pt;z-index:-251653120;mso-width-relative:page;mso-height-relative:page;" stroked="f" coordsize="21600,21600" o:gfxdata="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FgAAAGRycy9QSwECFAAUAAAACACHTuJAA+GL5dYAAAAJAQAADwAAAAAAAAABACAA&#10;AAA4AAAAZHJzL2Rvd25yZXYueG1sUEsBAhQAFAAAAAgAh07iQDahN1+HAQAADwMAAA4AAAAAAAAA&#10;AQAgAAAAOwEAAGRycy9lMm9Eb2MueG1sUEsFBgAAAAAGAAYAWQEAADQFAAAAAA==&#10;">
                  <v:path/>
                  <v:fill focussize="0,0"/>
                  <v:stroke on="f"/>
                  <v:imagedata o:title=""/>
                  <o:lock v:ext="edit"/>
                </v:rect>
              </w:pict>
            </w:r>
            <w:r>
              <w:rPr>
                <w:rFonts w:hint="eastAsia"/>
              </w:rPr>
              <w:t>（征求意见稿）</w:t>
            </w:r>
          </w:p>
          <w:p>
            <w:pPr>
              <w:wordWrap w:val="0"/>
              <w:ind w:firstLine="420"/>
              <w:rPr>
                <w:rFonts w:ascii="黑体" w:hAnsi="黑体" w:eastAsia="黑体"/>
                <w:color w:val="000000"/>
                <w:kern w:val="0"/>
                <w:sz w:val="18"/>
                <w:szCs w:val="18"/>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49"/>
              <w:wordWrap w:val="0"/>
            </w:pPr>
            <w:bookmarkStart w:id="3" w:name="WCRQ"/>
            <w:r>
              <w:fldChar w:fldCharType="begin">
                <w:ffData>
                  <w:name w:val="WCRQ"/>
                  <w:enabled/>
                  <w:calcOnExit w:val="0"/>
                  <w:textInput/>
                </w:ffData>
              </w:fldChar>
            </w:r>
            <w:r>
              <w:instrText xml:space="preserve"> FORMTEXT </w:instrText>
            </w:r>
            <w:r>
              <w:fldChar w:fldCharType="separate"/>
            </w:r>
            <w:r>
              <w:t>     </w:t>
            </w:r>
            <w:r>
              <w:fldChar w:fldCharType="end"/>
            </w:r>
            <w:bookmarkEnd w:id="3"/>
          </w:p>
        </w:tc>
      </w:tr>
    </w:tbl>
    <w:p>
      <w:pPr>
        <w:pStyle w:val="52"/>
        <w:wordWrap w:val="0"/>
      </w:pPr>
      <w:bookmarkStart w:id="4" w:name="FY"/>
      <w:r>
        <w:rPr>
          <w:rFonts w:ascii="黑体"/>
        </w:rPr>
        <w:fldChar w:fldCharType="begin">
          <w:ffData>
            <w:name w:val="FY"/>
            <w:enabled/>
            <w:calcOnExit w:val="0"/>
            <w:entryMacro w:val="ShowHelp8"/>
            <w:textInput>
              <w:default w:val="XXXX"/>
              <w:maxLength w:val="4"/>
            </w:textInput>
          </w:ffData>
        </w:fldChar>
      </w:r>
      <w:r>
        <w:rPr>
          <w:rFonts w:ascii="黑体"/>
        </w:rPr>
        <w:instrText xml:space="preserve"> FORMTEXT </w:instrText>
      </w:r>
      <w:r>
        <w:rPr>
          <w:rFonts w:ascii="黑体"/>
        </w:rPr>
        <w:fldChar w:fldCharType="separate"/>
      </w:r>
      <w:r>
        <w:rPr>
          <w:rFonts w:hint="eastAsia" w:ascii="黑体"/>
        </w:rPr>
        <w:t>202X</w:t>
      </w:r>
      <w:r>
        <w:rPr>
          <w:rFonts w:ascii="黑体"/>
        </w:rPr>
        <w:fldChar w:fldCharType="end"/>
      </w:r>
      <w:bookmarkEnd w:id="4"/>
      <w:r>
        <w:t xml:space="preserve"> </w:t>
      </w:r>
      <w:r>
        <w:rPr>
          <w:rFonts w:ascii="黑体"/>
        </w:rPr>
        <w:t>-</w:t>
      </w:r>
      <w:r>
        <w:t xml:space="preserve"> </w:t>
      </w:r>
      <w:r>
        <w:rPr>
          <w:rFonts w:ascii="黑体"/>
        </w:rPr>
        <w:fldChar w:fldCharType="begin">
          <w:ffData>
            <w:name w:val="FM"/>
            <w:enabled/>
            <w:calcOnExit w:val="0"/>
            <w:entryMacro w:val="ShowHelp8"/>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bookmarkStart w:id="5" w:name="FD"/>
      <w:r>
        <w:rPr>
          <w:rFonts w:ascii="黑体"/>
        </w:rPr>
        <w:fldChar w:fldCharType="begin">
          <w:ffData>
            <w:name w:val="FD"/>
            <w:enabled/>
            <w:calcOnExit w:val="0"/>
            <w:entryMacro w:val="ShowHelp8"/>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5"/>
      <w:r>
        <w:rPr>
          <w:rFonts w:hint="eastAsia"/>
        </w:rPr>
        <w:t>发布</w:t>
      </w:r>
      <w:r>
        <w:pict>
          <v:line id="直线 68" o:spid="_x0000_s2052" o:spt="20" style="position:absolute;left:0pt;margin-left:-0.05pt;margin-top:728.5pt;height:0pt;width:481.9pt;mso-position-vertical-relative:page;z-index:251660288;mso-width-relative:page;mso-height-relative:page;" coordsize="21600,21600" o:gfxdata="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CWHazzWAAAA&#10;CwEAAA8AAAAAAAAAAQAgAAAAOAAAAGRycy9kb3ducmV2LnhtbFBLAQIUABQAAAAIAIdO4kCEgnjW&#10;0AEAAJIDAAAOAAAAAAAAAAEAIAAAADsBAABkcnMvZTJvRG9jLnhtbFBLBQYAAAAABgAGAFkBAAB9&#10;BQAAAAA=&#10;">
            <v:path arrowok="t"/>
            <v:fill focussize="0,0"/>
            <v:stroke/>
            <v:imagedata o:title=""/>
            <o:lock v:ext="edit"/>
            <w10:anchorlock/>
          </v:line>
        </w:pict>
      </w:r>
    </w:p>
    <w:p>
      <w:pPr>
        <w:pStyle w:val="53"/>
        <w:wordWrap w:val="0"/>
      </w:pPr>
      <w:bookmarkStart w:id="6" w:name="SY"/>
      <w:r>
        <w:rPr>
          <w:rFonts w:ascii="黑体"/>
        </w:rPr>
        <w:fldChar w:fldCharType="begin">
          <w:ffData>
            <w:name w:val="SY"/>
            <w:enabled/>
            <w:calcOnExit w:val="0"/>
            <w:entryMacro w:val="ShowHelp9"/>
            <w:textInput>
              <w:default w:val="XXXX"/>
              <w:maxLength w:val="4"/>
            </w:textInput>
          </w:ffData>
        </w:fldChar>
      </w:r>
      <w:r>
        <w:rPr>
          <w:rFonts w:ascii="黑体"/>
        </w:rPr>
        <w:instrText xml:space="preserve"> FORMTEXT </w:instrText>
      </w:r>
      <w:r>
        <w:rPr>
          <w:rFonts w:ascii="黑体"/>
        </w:rPr>
        <w:fldChar w:fldCharType="separate"/>
      </w:r>
      <w:r>
        <w:rPr>
          <w:rFonts w:hint="eastAsia" w:ascii="黑体"/>
        </w:rPr>
        <w:t>202X</w:t>
      </w:r>
      <w:r>
        <w:rPr>
          <w:rFonts w:ascii="黑体"/>
        </w:rPr>
        <w:fldChar w:fldCharType="end"/>
      </w:r>
      <w:bookmarkEnd w:id="6"/>
      <w:r>
        <w:t xml:space="preserve"> </w:t>
      </w:r>
      <w:r>
        <w:rPr>
          <w:rFonts w:ascii="黑体"/>
        </w:rPr>
        <w:t>-</w:t>
      </w:r>
      <w:r>
        <w:t xml:space="preserve"> </w:t>
      </w:r>
      <w:bookmarkStart w:id="7" w:name="SM"/>
      <w:r>
        <w:rPr>
          <w:rFonts w:ascii="黑体"/>
        </w:rPr>
        <w:fldChar w:fldCharType="begin">
          <w:ffData>
            <w:name w:val="SM"/>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7"/>
      <w:r>
        <w:t xml:space="preserve"> </w:t>
      </w:r>
      <w:r>
        <w:rPr>
          <w:rFonts w:ascii="黑体"/>
        </w:rPr>
        <w:t>-</w:t>
      </w:r>
      <w:r>
        <w:t xml:space="preserve"> </w:t>
      </w:r>
      <w:bookmarkStart w:id="8" w:name="SD"/>
      <w:r>
        <w:rPr>
          <w:rFonts w:ascii="黑体"/>
        </w:rPr>
        <w:fldChar w:fldCharType="begin">
          <w:ffData>
            <w:name w:val="SD"/>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8"/>
      <w:r>
        <w:rPr>
          <w:rFonts w:hint="eastAsia"/>
        </w:rPr>
        <w:t>实施</w:t>
      </w:r>
    </w:p>
    <w:p>
      <w:pPr>
        <w:pStyle w:val="51"/>
        <w:wordWrap w:val="0"/>
      </w:pPr>
      <w:r>
        <w:rPr>
          <w:rFonts w:hint="eastAsia"/>
        </w:rPr>
        <w:t>国家档案局</w:t>
      </w:r>
      <w:r>
        <w:rPr>
          <w:rFonts w:ascii="Cambria Math" w:hAnsi="Cambria Math" w:cs="Cambria Math"/>
        </w:rPr>
        <w:t>   </w:t>
      </w:r>
      <w:r>
        <w:rPr>
          <w:rStyle w:val="44"/>
          <w:rFonts w:hint="eastAsia"/>
        </w:rPr>
        <w:t>发布</w:t>
      </w:r>
    </w:p>
    <w:p>
      <w:pPr>
        <w:pStyle w:val="40"/>
        <w:wordWrap w:val="0"/>
        <w:sectPr>
          <w:footerReference r:id="rId3" w:type="default"/>
          <w:footerReference r:id="rId4" w:type="even"/>
          <w:pgSz w:w="11906" w:h="16838"/>
          <w:pgMar w:top="567" w:right="850" w:bottom="1134" w:left="1418" w:header="0" w:footer="0" w:gutter="0"/>
          <w:pgNumType w:start="1"/>
          <w:cols w:space="425" w:num="1"/>
          <w:docGrid w:type="lines" w:linePitch="312" w:charSpace="0"/>
        </w:sectPr>
      </w:pPr>
      <w:r>
        <w:pict>
          <v:line id="直线 69" o:spid="_x0000_s2053" o:spt="20" style="position:absolute;left:0pt;margin-left:-0.05pt;margin-top:184.25pt;height:0pt;width:481.9pt;z-index:251661312;mso-width-relative:page;mso-height-relative:page;" coordsize="21600,21600" o:gfxdata="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BCQeJf1wAA&#10;AAkBAAAPAAAAAAAAAAEAIAAAADgAAABkcnMvZG93bnJldi54bWxQSwECFAAUAAAACACHTuJACoup&#10;/NABAACSAwAADgAAAAAAAAABACAAAAA8AQAAZHJzL2Uyb0RvYy54bWxQSwUGAAAAAAYABgBZAQAA&#10;fgUAAAAA&#10;">
            <v:path arrowok="t"/>
            <v:fill focussize="0,0"/>
            <v:stroke/>
            <v:imagedata o:title=""/>
            <o:lock v:ext="edit"/>
          </v:line>
        </w:pict>
      </w:r>
    </w:p>
    <w:p>
      <w:pPr>
        <w:pStyle w:val="55"/>
        <w:jc w:val="center"/>
        <w:rPr>
          <w:rFonts w:eastAsia="方正仿宋_GBK"/>
          <w:szCs w:val="21"/>
        </w:rPr>
      </w:pPr>
      <w:r>
        <w:rPr>
          <w:lang w:val="zh-CN"/>
        </w:rPr>
        <w:t>目录</w:t>
      </w:r>
    </w:p>
    <w:p>
      <w:pPr>
        <w:widowControl/>
        <w:jc w:val="left"/>
      </w:pP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color w:val="auto"/>
          <w:highlight w:val="none"/>
        </w:rPr>
        <w:instrText xml:space="preserve"> HYPERLINK \l _Toc1426420224 </w:instrText>
      </w:r>
      <w:r>
        <w:rPr>
          <w:color w:val="auto"/>
          <w:highlight w:val="none"/>
        </w:rPr>
        <w:fldChar w:fldCharType="separate"/>
      </w:r>
      <w:r>
        <w:rPr>
          <w:rFonts w:hint="eastAsia"/>
          <w:color w:val="auto"/>
          <w:highlight w:val="none"/>
        </w:rPr>
        <w:t>引</w:t>
      </w:r>
      <w:r>
        <w:rPr>
          <w:rFonts w:hAnsi="黑体"/>
          <w:color w:val="auto"/>
          <w:highlight w:val="none"/>
        </w:rPr>
        <w:t>  </w:t>
      </w:r>
      <w:r>
        <w:rPr>
          <w:rFonts w:hint="eastAsia"/>
          <w:color w:val="auto"/>
          <w:highlight w:val="none"/>
        </w:rPr>
        <w:t>言</w:t>
      </w:r>
      <w:r>
        <w:rPr>
          <w:color w:val="auto"/>
          <w:highlight w:val="none"/>
        </w:rPr>
        <w:tab/>
      </w:r>
      <w:r>
        <w:rPr>
          <w:color w:val="auto"/>
          <w:highlight w:val="none"/>
        </w:rPr>
        <w:fldChar w:fldCharType="begin"/>
      </w:r>
      <w:r>
        <w:rPr>
          <w:color w:val="auto"/>
          <w:highlight w:val="none"/>
        </w:rPr>
        <w:instrText xml:space="preserve"> PAGEREF _Toc1426420224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_Toc1109717863 </w:instrText>
      </w:r>
      <w:r>
        <w:rPr>
          <w:color w:val="auto"/>
          <w:highlight w:val="none"/>
        </w:rPr>
        <w:fldChar w:fldCharType="separate"/>
      </w:r>
      <w:r>
        <w:rPr>
          <w:rFonts w:hint="eastAsia"/>
          <w:color w:val="auto"/>
          <w:highlight w:val="none"/>
        </w:rPr>
        <w:t>前</w:t>
      </w:r>
      <w:r>
        <w:rPr>
          <w:rFonts w:hAnsi="黑体"/>
          <w:color w:val="auto"/>
          <w:highlight w:val="none"/>
        </w:rPr>
        <w:t>  </w:t>
      </w:r>
      <w:r>
        <w:rPr>
          <w:rFonts w:hint="eastAsia"/>
          <w:color w:val="auto"/>
          <w:highlight w:val="none"/>
        </w:rPr>
        <w:t>言</w:t>
      </w:r>
      <w:r>
        <w:rPr>
          <w:color w:val="auto"/>
          <w:highlight w:val="none"/>
        </w:rPr>
        <w:tab/>
      </w:r>
      <w:r>
        <w:rPr>
          <w:color w:val="auto"/>
          <w:highlight w:val="none"/>
        </w:rPr>
        <w:fldChar w:fldCharType="begin"/>
      </w:r>
      <w:r>
        <w:rPr>
          <w:color w:val="auto"/>
          <w:highlight w:val="none"/>
        </w:rPr>
        <w:instrText xml:space="preserve"> PAGEREF _Toc1109717863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_Toc918831750 </w:instrText>
      </w:r>
      <w:r>
        <w:rPr>
          <w:color w:val="auto"/>
          <w:highlight w:val="none"/>
        </w:rPr>
        <w:fldChar w:fldCharType="separate"/>
      </w:r>
      <w:r>
        <w:rPr>
          <w:rFonts w:hint="eastAsia" w:ascii="黑体" w:eastAsia="黑体"/>
          <w:i w:val="0"/>
          <w:color w:val="auto"/>
          <w:highlight w:val="none"/>
        </w:rPr>
        <w:t xml:space="preserve">1 </w:t>
      </w:r>
      <w:r>
        <w:rPr>
          <w:rFonts w:hint="eastAsia"/>
          <w:color w:val="auto"/>
          <w:highlight w:val="none"/>
        </w:rPr>
        <w:t>适用范围</w:t>
      </w:r>
      <w:r>
        <w:rPr>
          <w:color w:val="auto"/>
          <w:highlight w:val="none"/>
        </w:rPr>
        <w:tab/>
      </w:r>
      <w:r>
        <w:rPr>
          <w:color w:val="auto"/>
          <w:highlight w:val="none"/>
        </w:rPr>
        <w:fldChar w:fldCharType="begin"/>
      </w:r>
      <w:r>
        <w:rPr>
          <w:color w:val="auto"/>
          <w:highlight w:val="none"/>
        </w:rPr>
        <w:instrText xml:space="preserve"> PAGEREF _Toc918831750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_Toc294750102 </w:instrText>
      </w:r>
      <w:r>
        <w:rPr>
          <w:color w:val="auto"/>
          <w:highlight w:val="none"/>
        </w:rPr>
        <w:fldChar w:fldCharType="separate"/>
      </w:r>
      <w:r>
        <w:rPr>
          <w:rFonts w:hint="eastAsia" w:ascii="黑体" w:eastAsia="黑体"/>
          <w:i w:val="0"/>
          <w:color w:val="auto"/>
          <w:highlight w:val="none"/>
        </w:rPr>
        <w:t xml:space="preserve">2 </w:t>
      </w:r>
      <w:r>
        <w:rPr>
          <w:rFonts w:hint="eastAsia"/>
          <w:color w:val="auto"/>
          <w:highlight w:val="none"/>
        </w:rPr>
        <w:t>规范性引用文件</w:t>
      </w:r>
      <w:r>
        <w:rPr>
          <w:color w:val="auto"/>
          <w:highlight w:val="none"/>
        </w:rPr>
        <w:tab/>
      </w:r>
      <w:r>
        <w:rPr>
          <w:color w:val="auto"/>
          <w:highlight w:val="none"/>
        </w:rPr>
        <w:fldChar w:fldCharType="begin"/>
      </w:r>
      <w:r>
        <w:rPr>
          <w:color w:val="auto"/>
          <w:highlight w:val="none"/>
        </w:rPr>
        <w:instrText xml:space="preserve"> PAGEREF _Toc294750102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_Toc1405653744 </w:instrText>
      </w:r>
      <w:r>
        <w:rPr>
          <w:color w:val="auto"/>
          <w:highlight w:val="none"/>
        </w:rPr>
        <w:fldChar w:fldCharType="separate"/>
      </w:r>
      <w:r>
        <w:rPr>
          <w:rFonts w:hint="eastAsia" w:ascii="黑体" w:eastAsia="黑体"/>
          <w:i w:val="0"/>
          <w:color w:val="auto"/>
          <w:highlight w:val="none"/>
        </w:rPr>
        <w:t xml:space="preserve">3 </w:t>
      </w:r>
      <w:r>
        <w:rPr>
          <w:rFonts w:hint="eastAsia"/>
          <w:color w:val="auto"/>
          <w:highlight w:val="none"/>
        </w:rPr>
        <w:t>术语和定义</w:t>
      </w:r>
      <w:r>
        <w:rPr>
          <w:color w:val="auto"/>
          <w:highlight w:val="none"/>
        </w:rPr>
        <w:tab/>
      </w:r>
      <w:r>
        <w:rPr>
          <w:color w:val="auto"/>
          <w:highlight w:val="none"/>
        </w:rPr>
        <w:fldChar w:fldCharType="begin"/>
      </w:r>
      <w:r>
        <w:rPr>
          <w:color w:val="auto"/>
          <w:highlight w:val="none"/>
        </w:rPr>
        <w:instrText xml:space="preserve"> PAGEREF _Toc1405653744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_Toc2090802962 </w:instrText>
      </w:r>
      <w:r>
        <w:rPr>
          <w:color w:val="auto"/>
          <w:highlight w:val="none"/>
        </w:rPr>
        <w:fldChar w:fldCharType="separate"/>
      </w:r>
      <w:r>
        <w:rPr>
          <w:rFonts w:hint="eastAsia" w:ascii="黑体" w:eastAsia="黑体"/>
          <w:i w:val="0"/>
          <w:color w:val="auto"/>
          <w:highlight w:val="none"/>
        </w:rPr>
        <w:t xml:space="preserve">4 </w:t>
      </w:r>
      <w:r>
        <w:rPr>
          <w:rFonts w:hint="eastAsia"/>
          <w:color w:val="auto"/>
          <w:highlight w:val="none"/>
        </w:rPr>
        <w:t>管理原则</w:t>
      </w:r>
      <w:r>
        <w:rPr>
          <w:color w:val="auto"/>
          <w:highlight w:val="none"/>
        </w:rPr>
        <w:tab/>
      </w:r>
      <w:r>
        <w:rPr>
          <w:color w:val="auto"/>
          <w:highlight w:val="none"/>
        </w:rPr>
        <w:fldChar w:fldCharType="begin"/>
      </w:r>
      <w:r>
        <w:rPr>
          <w:color w:val="auto"/>
          <w:highlight w:val="none"/>
        </w:rPr>
        <w:instrText xml:space="preserve"> PAGEREF _Toc2090802962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_Toc887041593 </w:instrText>
      </w:r>
      <w:r>
        <w:rPr>
          <w:color w:val="auto"/>
          <w:highlight w:val="none"/>
        </w:rPr>
        <w:fldChar w:fldCharType="separate"/>
      </w:r>
      <w:r>
        <w:rPr>
          <w:rFonts w:hint="eastAsia" w:ascii="黑体" w:eastAsia="黑体"/>
          <w:i w:val="0"/>
          <w:color w:val="auto"/>
          <w:highlight w:val="none"/>
        </w:rPr>
        <w:t xml:space="preserve">5 </w:t>
      </w:r>
      <w:r>
        <w:rPr>
          <w:rFonts w:hint="eastAsia"/>
          <w:color w:val="auto"/>
          <w:highlight w:val="none"/>
        </w:rPr>
        <w:t>电子会计档案管理流程</w:t>
      </w:r>
      <w:r>
        <w:rPr>
          <w:color w:val="auto"/>
          <w:highlight w:val="none"/>
        </w:rPr>
        <w:tab/>
      </w:r>
      <w:r>
        <w:rPr>
          <w:color w:val="auto"/>
          <w:highlight w:val="none"/>
        </w:rPr>
        <w:fldChar w:fldCharType="begin"/>
      </w:r>
      <w:r>
        <w:rPr>
          <w:color w:val="auto"/>
          <w:highlight w:val="none"/>
        </w:rPr>
        <w:instrText xml:space="preserve"> PAGEREF _Toc887041593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_Toc3218424 </w:instrText>
      </w:r>
      <w:r>
        <w:rPr>
          <w:color w:val="auto"/>
          <w:highlight w:val="none"/>
        </w:rPr>
        <w:fldChar w:fldCharType="separate"/>
      </w:r>
      <w:r>
        <w:rPr>
          <w:rFonts w:hint="eastAsia" w:ascii="黑体" w:eastAsia="黑体"/>
          <w:i w:val="0"/>
          <w:color w:val="auto"/>
          <w:highlight w:val="none"/>
        </w:rPr>
        <w:t xml:space="preserve">6 </w:t>
      </w:r>
      <w:r>
        <w:rPr>
          <w:rFonts w:hint="eastAsia"/>
          <w:color w:val="auto"/>
          <w:highlight w:val="none"/>
        </w:rPr>
        <w:t>归档电子会计资料的形成</w:t>
      </w:r>
      <w:r>
        <w:rPr>
          <w:color w:val="auto"/>
          <w:highlight w:val="none"/>
        </w:rPr>
        <w:tab/>
      </w:r>
      <w:r>
        <w:rPr>
          <w:color w:val="auto"/>
          <w:highlight w:val="none"/>
        </w:rPr>
        <w:fldChar w:fldCharType="begin"/>
      </w:r>
      <w:r>
        <w:rPr>
          <w:color w:val="auto"/>
          <w:highlight w:val="none"/>
        </w:rPr>
        <w:instrText xml:space="preserve"> PAGEREF _Toc3218424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_Toc712537422 </w:instrText>
      </w:r>
      <w:r>
        <w:rPr>
          <w:color w:val="auto"/>
          <w:highlight w:val="none"/>
        </w:rPr>
        <w:fldChar w:fldCharType="separate"/>
      </w:r>
      <w:r>
        <w:rPr>
          <w:rFonts w:hint="eastAsia" w:ascii="黑体" w:eastAsia="黑体"/>
          <w:i w:val="0"/>
          <w:color w:val="auto"/>
          <w:highlight w:val="none"/>
        </w:rPr>
        <w:t xml:space="preserve">7 </w:t>
      </w:r>
      <w:r>
        <w:rPr>
          <w:rFonts w:hint="eastAsia"/>
          <w:color w:val="auto"/>
          <w:highlight w:val="none"/>
        </w:rPr>
        <w:t>归档电子会计资料的收集</w:t>
      </w:r>
      <w:r>
        <w:rPr>
          <w:color w:val="auto"/>
          <w:highlight w:val="none"/>
        </w:rPr>
        <w:tab/>
      </w:r>
      <w:r>
        <w:rPr>
          <w:color w:val="auto"/>
          <w:highlight w:val="none"/>
        </w:rPr>
        <w:fldChar w:fldCharType="begin"/>
      </w:r>
      <w:r>
        <w:rPr>
          <w:color w:val="auto"/>
          <w:highlight w:val="none"/>
        </w:rPr>
        <w:instrText xml:space="preserve"> PAGEREF _Toc712537422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_Toc2129452881 </w:instrText>
      </w:r>
      <w:r>
        <w:rPr>
          <w:color w:val="auto"/>
          <w:highlight w:val="none"/>
        </w:rPr>
        <w:fldChar w:fldCharType="separate"/>
      </w:r>
      <w:r>
        <w:rPr>
          <w:rFonts w:hint="eastAsia" w:ascii="黑体" w:eastAsia="黑体"/>
          <w:i w:val="0"/>
          <w:color w:val="auto"/>
          <w:highlight w:val="none"/>
        </w:rPr>
        <w:t xml:space="preserve">8 </w:t>
      </w:r>
      <w:r>
        <w:rPr>
          <w:rFonts w:hint="eastAsia"/>
          <w:color w:val="auto"/>
          <w:highlight w:val="none"/>
        </w:rPr>
        <w:t>归档电子会计资料的整理</w:t>
      </w:r>
      <w:r>
        <w:rPr>
          <w:color w:val="auto"/>
          <w:highlight w:val="none"/>
        </w:rPr>
        <w:tab/>
      </w:r>
      <w:r>
        <w:rPr>
          <w:color w:val="auto"/>
          <w:highlight w:val="none"/>
        </w:rPr>
        <w:fldChar w:fldCharType="begin"/>
      </w:r>
      <w:r>
        <w:rPr>
          <w:color w:val="auto"/>
          <w:highlight w:val="none"/>
        </w:rPr>
        <w:instrText xml:space="preserve"> PAGEREF _Toc2129452881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_Toc1475154067 </w:instrText>
      </w:r>
      <w:r>
        <w:rPr>
          <w:color w:val="auto"/>
          <w:highlight w:val="none"/>
        </w:rPr>
        <w:fldChar w:fldCharType="separate"/>
      </w:r>
      <w:r>
        <w:rPr>
          <w:rFonts w:hint="eastAsia"/>
          <w:color w:val="auto"/>
          <w:highlight w:val="none"/>
          <w:lang w:val="en-US" w:eastAsia="zh-CN"/>
        </w:rPr>
        <w:t xml:space="preserve">9 </w:t>
      </w:r>
      <w:r>
        <w:rPr>
          <w:rFonts w:hint="eastAsia"/>
          <w:color w:val="auto"/>
          <w:highlight w:val="none"/>
        </w:rPr>
        <w:t>电子会计资料的归档移交与接收</w:t>
      </w:r>
      <w:r>
        <w:rPr>
          <w:color w:val="auto"/>
          <w:highlight w:val="none"/>
        </w:rPr>
        <w:tab/>
      </w:r>
      <w:r>
        <w:rPr>
          <w:color w:val="auto"/>
          <w:highlight w:val="none"/>
        </w:rPr>
        <w:fldChar w:fldCharType="begin"/>
      </w:r>
      <w:r>
        <w:rPr>
          <w:color w:val="auto"/>
          <w:highlight w:val="none"/>
        </w:rPr>
        <w:instrText xml:space="preserve"> PAGEREF _Toc1475154067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_Toc1171164380 </w:instrText>
      </w:r>
      <w:r>
        <w:rPr>
          <w:color w:val="auto"/>
          <w:highlight w:val="none"/>
        </w:rPr>
        <w:fldChar w:fldCharType="separate"/>
      </w:r>
      <w:r>
        <w:rPr>
          <w:rFonts w:hint="eastAsia"/>
          <w:color w:val="auto"/>
          <w:highlight w:val="none"/>
          <w:lang w:val="en-US" w:eastAsia="zh-CN"/>
        </w:rPr>
        <w:t xml:space="preserve">10 </w:t>
      </w:r>
      <w:r>
        <w:rPr>
          <w:rFonts w:hint="eastAsia"/>
          <w:color w:val="auto"/>
          <w:highlight w:val="none"/>
        </w:rPr>
        <w:t>电子会计档案的</w:t>
      </w:r>
      <w:r>
        <w:rPr>
          <w:rFonts w:hint="eastAsia"/>
          <w:color w:val="auto"/>
          <w:highlight w:val="none"/>
          <w:lang w:eastAsia="zh-CN"/>
        </w:rPr>
        <w:t>保管</w:t>
      </w:r>
      <w:r>
        <w:rPr>
          <w:color w:val="auto"/>
          <w:highlight w:val="none"/>
        </w:rPr>
        <w:tab/>
      </w:r>
      <w:r>
        <w:rPr>
          <w:color w:val="auto"/>
          <w:highlight w:val="none"/>
        </w:rPr>
        <w:fldChar w:fldCharType="begin"/>
      </w:r>
      <w:r>
        <w:rPr>
          <w:color w:val="auto"/>
          <w:highlight w:val="none"/>
        </w:rPr>
        <w:instrText xml:space="preserve"> PAGEREF _Toc1171164380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_Toc220882707 </w:instrText>
      </w:r>
      <w:r>
        <w:rPr>
          <w:color w:val="auto"/>
          <w:highlight w:val="none"/>
        </w:rPr>
        <w:fldChar w:fldCharType="separate"/>
      </w:r>
      <w:r>
        <w:rPr>
          <w:rFonts w:hint="eastAsia"/>
          <w:color w:val="auto"/>
          <w:highlight w:val="none"/>
          <w:lang w:val="en-US" w:eastAsia="zh-CN"/>
        </w:rPr>
        <w:t xml:space="preserve">11 </w:t>
      </w:r>
      <w:r>
        <w:rPr>
          <w:rFonts w:hint="eastAsia"/>
          <w:color w:val="auto"/>
          <w:highlight w:val="none"/>
        </w:rPr>
        <w:t>电子会计档案的统计</w:t>
      </w:r>
      <w:r>
        <w:rPr>
          <w:color w:val="auto"/>
          <w:highlight w:val="none"/>
        </w:rPr>
        <w:tab/>
      </w:r>
      <w:r>
        <w:rPr>
          <w:color w:val="auto"/>
          <w:highlight w:val="none"/>
        </w:rPr>
        <w:fldChar w:fldCharType="begin"/>
      </w:r>
      <w:r>
        <w:rPr>
          <w:color w:val="auto"/>
          <w:highlight w:val="none"/>
        </w:rPr>
        <w:instrText xml:space="preserve"> PAGEREF _Toc220882707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_Toc1704043692 </w:instrText>
      </w:r>
      <w:r>
        <w:rPr>
          <w:color w:val="auto"/>
          <w:highlight w:val="none"/>
        </w:rPr>
        <w:fldChar w:fldCharType="separate"/>
      </w:r>
      <w:r>
        <w:rPr>
          <w:rFonts w:hint="eastAsia"/>
          <w:color w:val="auto"/>
          <w:highlight w:val="none"/>
          <w:lang w:val="en-US" w:eastAsia="zh-CN"/>
        </w:rPr>
        <w:t xml:space="preserve">12 </w:t>
      </w:r>
      <w:r>
        <w:rPr>
          <w:rFonts w:hint="eastAsia"/>
          <w:color w:val="auto"/>
          <w:highlight w:val="none"/>
        </w:rPr>
        <w:t>电子会计档案的利用</w:t>
      </w:r>
      <w:r>
        <w:rPr>
          <w:color w:val="auto"/>
          <w:highlight w:val="none"/>
        </w:rPr>
        <w:tab/>
      </w:r>
      <w:r>
        <w:rPr>
          <w:color w:val="auto"/>
          <w:highlight w:val="none"/>
        </w:rPr>
        <w:fldChar w:fldCharType="begin"/>
      </w:r>
      <w:r>
        <w:rPr>
          <w:color w:val="auto"/>
          <w:highlight w:val="none"/>
        </w:rPr>
        <w:instrText xml:space="preserve"> PAGEREF _Toc1704043692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_Toc265493613 </w:instrText>
      </w:r>
      <w:r>
        <w:rPr>
          <w:color w:val="auto"/>
          <w:highlight w:val="none"/>
        </w:rPr>
        <w:fldChar w:fldCharType="separate"/>
      </w:r>
      <w:r>
        <w:rPr>
          <w:rFonts w:hint="eastAsia"/>
          <w:color w:val="auto"/>
          <w:highlight w:val="none"/>
          <w:lang w:val="en-US" w:eastAsia="zh-CN"/>
        </w:rPr>
        <w:t xml:space="preserve">13 </w:t>
      </w:r>
      <w:r>
        <w:rPr>
          <w:rFonts w:hint="eastAsia"/>
          <w:color w:val="auto"/>
          <w:highlight w:val="none"/>
        </w:rPr>
        <w:t>电子会计档案的定期鉴定及处置</w:t>
      </w:r>
      <w:r>
        <w:rPr>
          <w:color w:val="auto"/>
          <w:highlight w:val="none"/>
        </w:rPr>
        <w:tab/>
      </w:r>
      <w:r>
        <w:rPr>
          <w:color w:val="auto"/>
          <w:highlight w:val="none"/>
        </w:rPr>
        <w:fldChar w:fldCharType="begin"/>
      </w:r>
      <w:r>
        <w:rPr>
          <w:color w:val="auto"/>
          <w:highlight w:val="none"/>
        </w:rPr>
        <w:instrText xml:space="preserve"> PAGEREF _Toc265493613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_Toc330618853 </w:instrText>
      </w:r>
      <w:r>
        <w:rPr>
          <w:color w:val="auto"/>
          <w:highlight w:val="none"/>
        </w:rPr>
        <w:fldChar w:fldCharType="separate"/>
      </w:r>
      <w:r>
        <w:rPr>
          <w:rFonts w:hint="eastAsia"/>
          <w:color w:val="auto"/>
          <w:highlight w:val="none"/>
          <w:lang w:val="en-US" w:eastAsia="zh-CN"/>
        </w:rPr>
        <w:t xml:space="preserve">14 </w:t>
      </w:r>
      <w:r>
        <w:rPr>
          <w:rFonts w:hint="eastAsia"/>
          <w:color w:val="auto"/>
          <w:highlight w:val="none"/>
        </w:rPr>
        <w:t>元数据管理</w:t>
      </w:r>
      <w:r>
        <w:rPr>
          <w:color w:val="auto"/>
          <w:highlight w:val="none"/>
        </w:rPr>
        <w:tab/>
      </w:r>
      <w:r>
        <w:rPr>
          <w:color w:val="auto"/>
          <w:highlight w:val="none"/>
        </w:rPr>
        <w:fldChar w:fldCharType="begin"/>
      </w:r>
      <w:r>
        <w:rPr>
          <w:color w:val="auto"/>
          <w:highlight w:val="none"/>
        </w:rPr>
        <w:instrText xml:space="preserve"> PAGEREF _Toc330618853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_Toc2117385578 </w:instrText>
      </w:r>
      <w:r>
        <w:rPr>
          <w:color w:val="auto"/>
          <w:highlight w:val="none"/>
        </w:rPr>
        <w:fldChar w:fldCharType="separate"/>
      </w:r>
      <w:r>
        <w:rPr>
          <w:rFonts w:hint="eastAsia"/>
          <w:color w:val="auto"/>
          <w:highlight w:val="none"/>
          <w:lang w:val="en-US" w:eastAsia="zh-CN"/>
        </w:rPr>
        <w:t xml:space="preserve">15 </w:t>
      </w:r>
      <w:r>
        <w:rPr>
          <w:rFonts w:hint="eastAsia"/>
          <w:color w:val="auto"/>
          <w:highlight w:val="none"/>
        </w:rPr>
        <w:t>会计核算系统及电子会计档案管理系统建设</w:t>
      </w:r>
      <w:r>
        <w:rPr>
          <w:color w:val="auto"/>
          <w:highlight w:val="none"/>
        </w:rPr>
        <w:tab/>
      </w:r>
      <w:r>
        <w:rPr>
          <w:color w:val="auto"/>
          <w:highlight w:val="none"/>
        </w:rPr>
        <w:fldChar w:fldCharType="begin"/>
      </w:r>
      <w:r>
        <w:rPr>
          <w:color w:val="auto"/>
          <w:highlight w:val="none"/>
        </w:rPr>
        <w:instrText xml:space="preserve"> PAGEREF _Toc2117385578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_Toc1840394138 </w:instrText>
      </w:r>
      <w:r>
        <w:rPr>
          <w:color w:val="auto"/>
          <w:highlight w:val="none"/>
        </w:rPr>
        <w:fldChar w:fldCharType="separate"/>
      </w:r>
      <w:r>
        <w:rPr>
          <w:rFonts w:hint="eastAsia"/>
          <w:color w:val="auto"/>
          <w:highlight w:val="none"/>
          <w:lang w:val="en-US" w:eastAsia="zh-CN"/>
        </w:rPr>
        <w:t xml:space="preserve">16 </w:t>
      </w:r>
      <w:r>
        <w:rPr>
          <w:rFonts w:hint="eastAsia"/>
          <w:color w:val="auto"/>
          <w:highlight w:val="none"/>
        </w:rPr>
        <w:t>未实施电子会计档案管理系统单位的电子会计资料保存方法</w:t>
      </w:r>
      <w:r>
        <w:rPr>
          <w:color w:val="auto"/>
          <w:highlight w:val="none"/>
        </w:rPr>
        <w:tab/>
      </w:r>
      <w:r>
        <w:rPr>
          <w:color w:val="auto"/>
          <w:highlight w:val="none"/>
        </w:rPr>
        <w:fldChar w:fldCharType="begin"/>
      </w:r>
      <w:r>
        <w:rPr>
          <w:color w:val="auto"/>
          <w:highlight w:val="none"/>
        </w:rPr>
        <w:instrText xml:space="preserve"> PAGEREF _Toc1840394138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_Toc505070307 </w:instrText>
      </w:r>
      <w:r>
        <w:rPr>
          <w:color w:val="auto"/>
          <w:highlight w:val="none"/>
        </w:rPr>
        <w:fldChar w:fldCharType="separate"/>
      </w:r>
      <w:r>
        <w:rPr>
          <w:rFonts w:hint="eastAsia"/>
          <w:color w:val="auto"/>
          <w:spacing w:val="105"/>
          <w:highlight w:val="none"/>
        </w:rPr>
        <w:t>参考文</w:t>
      </w:r>
      <w:r>
        <w:rPr>
          <w:rFonts w:hint="eastAsia"/>
          <w:color w:val="auto"/>
          <w:highlight w:val="none"/>
        </w:rPr>
        <w:t>献</w:t>
      </w:r>
      <w:r>
        <w:rPr>
          <w:color w:val="auto"/>
          <w:highlight w:val="none"/>
        </w:rPr>
        <w:tab/>
      </w:r>
      <w:r>
        <w:rPr>
          <w:color w:val="auto"/>
          <w:highlight w:val="none"/>
        </w:rPr>
        <w:fldChar w:fldCharType="begin"/>
      </w:r>
      <w:r>
        <w:rPr>
          <w:color w:val="auto"/>
          <w:highlight w:val="none"/>
        </w:rPr>
        <w:instrText xml:space="preserve"> PAGEREF _Toc505070307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rPr>
          <w:rFonts w:hint="eastAsia"/>
          <w:color w:val="auto"/>
          <w:highlight w:val="none"/>
        </w:rPr>
      </w:pPr>
      <w:r>
        <w:rPr>
          <w:color w:val="auto"/>
          <w:highlight w:val="none"/>
        </w:rPr>
        <w:fldChar w:fldCharType="end"/>
      </w:r>
      <w:r>
        <w:rPr>
          <w:rFonts w:hint="eastAsia"/>
          <w:color w:val="auto"/>
          <w:highlight w:val="none"/>
        </w:rPr>
        <w:t>附录</w:t>
      </w:r>
      <w:r>
        <w:rPr>
          <w:rFonts w:hint="eastAsia"/>
          <w:color w:val="auto"/>
          <w:highlight w:val="none"/>
          <w:lang w:val="en-US" w:eastAsia="zh-CN"/>
        </w:rPr>
        <w:t>A</w:t>
      </w:r>
      <w:r>
        <w:rPr>
          <w:rFonts w:hint="eastAsia"/>
          <w:color w:val="auto"/>
          <w:highlight w:val="none"/>
        </w:rPr>
        <w:t>：电子会计资料归档接口数据及归档输出文件格式规范</w:t>
      </w:r>
    </w:p>
    <w:p>
      <w:pPr>
        <w:rPr>
          <w:color w:val="auto"/>
          <w:highlight w:val="none"/>
        </w:rPr>
      </w:pPr>
      <w:r>
        <w:rPr>
          <w:rFonts w:hint="eastAsia"/>
          <w:color w:val="auto"/>
          <w:highlight w:val="none"/>
        </w:rPr>
        <w:t>附录</w:t>
      </w:r>
      <w:r>
        <w:rPr>
          <w:rFonts w:hint="eastAsia"/>
          <w:color w:val="auto"/>
          <w:highlight w:val="none"/>
          <w:lang w:val="en-US" w:eastAsia="zh-CN"/>
        </w:rPr>
        <w:t>B</w:t>
      </w:r>
      <w:r>
        <w:rPr>
          <w:rFonts w:hint="eastAsia"/>
          <w:color w:val="auto"/>
          <w:highlight w:val="none"/>
        </w:rPr>
        <w:t>：</w:t>
      </w:r>
      <w:r>
        <w:rPr>
          <w:rFonts w:hint="eastAsia"/>
          <w:color w:val="auto"/>
          <w:highlight w:val="none"/>
          <w:lang w:eastAsia="zh-CN"/>
        </w:rPr>
        <w:t>会计档案</w:t>
      </w:r>
      <w:r>
        <w:rPr>
          <w:rFonts w:hint="eastAsia"/>
          <w:color w:val="auto"/>
          <w:highlight w:val="none"/>
        </w:rPr>
        <w:t>归档范围与保管期限表</w:t>
      </w:r>
    </w:p>
    <w:p>
      <w:pPr>
        <w:rPr>
          <w:color w:val="auto"/>
          <w:highlight w:val="none"/>
        </w:rPr>
      </w:pPr>
      <w:r>
        <w:rPr>
          <w:rFonts w:hint="eastAsia"/>
          <w:color w:val="auto"/>
          <w:highlight w:val="none"/>
        </w:rPr>
        <w:t>附录C：元数据方案</w:t>
      </w:r>
    </w:p>
    <w:p>
      <w:pPr>
        <w:rPr>
          <w:color w:val="auto"/>
          <w:highlight w:val="none"/>
        </w:rPr>
      </w:pPr>
      <w:r>
        <w:rPr>
          <w:rFonts w:hint="eastAsia"/>
          <w:color w:val="auto"/>
          <w:highlight w:val="none"/>
        </w:rPr>
        <w:t>附录D：接口方案</w:t>
      </w:r>
    </w:p>
    <w:p>
      <w:pPr>
        <w:rPr>
          <w:color w:val="auto"/>
          <w:highlight w:val="none"/>
        </w:rPr>
      </w:pPr>
      <w:r>
        <w:rPr>
          <w:rFonts w:hint="eastAsia"/>
          <w:color w:val="auto"/>
          <w:highlight w:val="none"/>
        </w:rPr>
        <w:t>附录E：电子会计档案系统功能需求</w:t>
      </w:r>
    </w:p>
    <w:p>
      <w:pPr>
        <w:rPr>
          <w:color w:val="auto"/>
          <w:highlight w:val="none"/>
        </w:rPr>
      </w:pPr>
      <w:r>
        <w:rPr>
          <w:rFonts w:hint="eastAsia"/>
          <w:color w:val="auto"/>
          <w:highlight w:val="none"/>
        </w:rPr>
        <w:t>附录F：电子会计档案保存用表（图）</w:t>
      </w:r>
    </w:p>
    <w:p>
      <w:pPr>
        <w:widowControl/>
        <w:jc w:val="left"/>
        <w:rPr>
          <w:rFonts w:eastAsia="方正仿宋_GBK"/>
          <w:color w:val="auto"/>
          <w:szCs w:val="21"/>
          <w:highlight w:val="none"/>
        </w:rPr>
      </w:pPr>
    </w:p>
    <w:p>
      <w:pPr>
        <w:pStyle w:val="42"/>
        <w:wordWrap w:val="0"/>
        <w:rPr>
          <w:color w:val="auto"/>
          <w:highlight w:val="none"/>
        </w:rPr>
      </w:pPr>
      <w:bookmarkStart w:id="9" w:name="_Toc1426420224"/>
      <w:bookmarkStart w:id="10" w:name="_Toc37775545"/>
      <w:bookmarkStart w:id="11" w:name="_Toc349829172"/>
      <w:r>
        <w:rPr>
          <w:rFonts w:hint="eastAsia"/>
          <w:color w:val="auto"/>
          <w:highlight w:val="none"/>
        </w:rPr>
        <w:t>引</w:t>
      </w:r>
      <w:r>
        <w:rPr>
          <w:rFonts w:hAnsi="黑体"/>
          <w:color w:val="auto"/>
          <w:highlight w:val="none"/>
        </w:rPr>
        <w:t>  </w:t>
      </w:r>
      <w:r>
        <w:rPr>
          <w:rFonts w:hint="eastAsia"/>
          <w:color w:val="auto"/>
          <w:highlight w:val="none"/>
        </w:rPr>
        <w:t>言</w:t>
      </w:r>
      <w:bookmarkEnd w:id="9"/>
      <w:bookmarkEnd w:id="10"/>
      <w:bookmarkEnd w:id="11"/>
    </w:p>
    <w:p>
      <w:pPr>
        <w:jc w:val="center"/>
        <w:rPr>
          <w:color w:val="auto"/>
          <w:highlight w:val="none"/>
        </w:rPr>
      </w:pPr>
      <w:r>
        <w:rPr>
          <w:rFonts w:hint="eastAsia"/>
          <w:color w:val="auto"/>
          <w:highlight w:val="none"/>
        </w:rPr>
        <w:t>（可选要素）</w:t>
      </w:r>
    </w:p>
    <w:p>
      <w:pPr>
        <w:pStyle w:val="40"/>
        <w:wordWrap w:val="0"/>
        <w:ind w:firstLine="0" w:firstLineChars="0"/>
        <w:rPr>
          <w:color w:val="auto"/>
          <w:highlight w:val="none"/>
        </w:rPr>
      </w:pPr>
      <w:r>
        <w:rPr>
          <w:rFonts w:hint="eastAsia"/>
          <w:color w:val="auto"/>
          <w:highlight w:val="none"/>
        </w:rPr>
        <w:t>编制标准的原因：</w:t>
      </w:r>
    </w:p>
    <w:p>
      <w:pPr>
        <w:pStyle w:val="40"/>
        <w:wordWrap w:val="0"/>
        <w:rPr>
          <w:color w:val="auto"/>
          <w:highlight w:val="none"/>
        </w:rPr>
      </w:pPr>
      <w:r>
        <w:rPr>
          <w:rFonts w:hint="eastAsia" w:hAnsi="宋体"/>
          <w:color w:val="auto"/>
          <w:szCs w:val="21"/>
          <w:highlight w:val="none"/>
        </w:rPr>
        <w:t>XXXXXXXXXXXXXXXXXXXXXXXXXXXXXXXXXXXXXXXXXXXXXXXXXXXXXXXXXXXXXXXXXXXXXXXXXXXXXXXXXXXXXXXXXXXXXXXXXXXXXXXXXXXXXXXXXXXXXXXXXXXXXXXXXXXXXXXXXXXXXXXXXXXXXXXXXXXXXXXXXXXXXXXXXXXXXXXXXXXXXXXXXXXXXXXX。</w:t>
      </w:r>
    </w:p>
    <w:p>
      <w:pPr>
        <w:pStyle w:val="40"/>
        <w:wordWrap w:val="0"/>
        <w:ind w:firstLine="0" w:firstLineChars="0"/>
        <w:rPr>
          <w:color w:val="auto"/>
          <w:highlight w:val="none"/>
        </w:rPr>
      </w:pPr>
      <w:r>
        <w:rPr>
          <w:rFonts w:hint="eastAsia"/>
          <w:color w:val="auto"/>
          <w:highlight w:val="none"/>
        </w:rPr>
        <w:t>标准技术内容的特殊信息或说明：</w:t>
      </w:r>
    </w:p>
    <w:p>
      <w:pPr>
        <w:ind w:firstLine="424" w:firstLineChars="202"/>
        <w:jc w:val="left"/>
        <w:rPr>
          <w:rFonts w:eastAsia="方正仿宋_GBK"/>
          <w:color w:val="auto"/>
          <w:szCs w:val="21"/>
          <w:highlight w:val="none"/>
        </w:rPr>
      </w:pPr>
      <w:r>
        <w:rPr>
          <w:rFonts w:hint="eastAsia" w:hAnsi="宋体"/>
          <w:color w:val="auto"/>
          <w:szCs w:val="21"/>
          <w:highlight w:val="none"/>
        </w:rPr>
        <w:t>XXXXXXXXXXXXXXXXXXXXXXXXXXXXXXXXXXXXXXXXXXXXXXXXXXXXXXXXXXXXXXXXXXXXXXXXXXXXXXXXXXXXXXXXXXXXXXXXXXXXXXXXXXXXXXXXXXXXXXXXXXXXXXXXXXXXXXXXXXXXXXXXXXXXXXXXXXXXXXXXXXXXXXXXXXXXXXXXXXXXXXXXXXXXXXXX。</w:t>
      </w:r>
    </w:p>
    <w:p>
      <w:pPr>
        <w:pStyle w:val="42"/>
        <w:wordWrap w:val="0"/>
        <w:rPr>
          <w:color w:val="auto"/>
          <w:highlight w:val="none"/>
        </w:rPr>
      </w:pPr>
      <w:bookmarkStart w:id="12" w:name="_Toc37775544"/>
      <w:bookmarkStart w:id="13" w:name="_Toc1109717863"/>
      <w:bookmarkStart w:id="14" w:name="_Toc269201550"/>
      <w:bookmarkStart w:id="15" w:name="_Toc349829171"/>
      <w:r>
        <w:rPr>
          <w:rFonts w:hint="eastAsia"/>
          <w:color w:val="auto"/>
          <w:highlight w:val="none"/>
        </w:rPr>
        <w:t>前</w:t>
      </w:r>
      <w:bookmarkStart w:id="16" w:name="BKQY"/>
      <w:r>
        <w:rPr>
          <w:rFonts w:hAnsi="黑体"/>
          <w:color w:val="auto"/>
          <w:highlight w:val="none"/>
        </w:rPr>
        <w:t>  </w:t>
      </w:r>
      <w:r>
        <w:rPr>
          <w:rFonts w:hint="eastAsia"/>
          <w:color w:val="auto"/>
          <w:highlight w:val="none"/>
        </w:rPr>
        <w:t>言</w:t>
      </w:r>
      <w:bookmarkEnd w:id="12"/>
      <w:bookmarkEnd w:id="13"/>
      <w:bookmarkEnd w:id="14"/>
      <w:bookmarkEnd w:id="15"/>
      <w:bookmarkEnd w:id="16"/>
    </w:p>
    <w:p>
      <w:pPr>
        <w:wordWrap w:val="0"/>
        <w:spacing w:line="276" w:lineRule="auto"/>
        <w:ind w:firstLine="420" w:firstLineChars="200"/>
        <w:rPr>
          <w:rFonts w:ascii="宋体" w:hAnsi="宋体"/>
          <w:color w:val="auto"/>
          <w:szCs w:val="21"/>
          <w:highlight w:val="none"/>
        </w:rPr>
      </w:pPr>
      <w:r>
        <w:rPr>
          <w:rFonts w:hint="eastAsia" w:ascii="宋体" w:hAnsi="宋体"/>
          <w:color w:val="auto"/>
          <w:szCs w:val="21"/>
          <w:highlight w:val="none"/>
        </w:rPr>
        <w:t>本标准按照GB/T 1.1—2020给出的规则起草。</w:t>
      </w:r>
    </w:p>
    <w:p>
      <w:pPr>
        <w:wordWrap w:val="0"/>
        <w:spacing w:line="276" w:lineRule="auto"/>
        <w:ind w:firstLine="420" w:firstLineChars="200"/>
        <w:rPr>
          <w:rFonts w:ascii="宋体" w:hAnsi="宋体"/>
          <w:color w:val="auto"/>
          <w:szCs w:val="21"/>
          <w:highlight w:val="none"/>
        </w:rPr>
      </w:pPr>
      <w:r>
        <w:rPr>
          <w:rFonts w:hint="eastAsia" w:ascii="宋体" w:hAnsi="宋体"/>
          <w:color w:val="auto"/>
          <w:szCs w:val="21"/>
          <w:highlight w:val="none"/>
        </w:rPr>
        <w:t>本标准由国家档案局提出并归口。</w:t>
      </w:r>
    </w:p>
    <w:p>
      <w:pPr>
        <w:wordWrap w:val="0"/>
        <w:spacing w:line="276" w:lineRule="auto"/>
        <w:ind w:firstLine="420" w:firstLineChars="200"/>
        <w:rPr>
          <w:rFonts w:ascii="宋体" w:hAnsi="宋体"/>
          <w:color w:val="auto"/>
          <w:szCs w:val="21"/>
          <w:highlight w:val="none"/>
        </w:rPr>
      </w:pPr>
      <w:r>
        <w:rPr>
          <w:rFonts w:hint="eastAsia" w:ascii="宋体" w:hAnsi="宋体"/>
          <w:color w:val="auto"/>
          <w:szCs w:val="21"/>
          <w:highlight w:val="none"/>
        </w:rPr>
        <w:t>本标准起草单位：国家档案局经科司、财政部会计司、中国电力建设集团公司、中国石油天然气集团公司、航天信息股份有限公司、用友软件股份有限公司。</w:t>
      </w:r>
    </w:p>
    <w:p>
      <w:pPr>
        <w:wordWrap w:val="0"/>
        <w:spacing w:line="276" w:lineRule="auto"/>
        <w:ind w:firstLine="420" w:firstLineChars="200"/>
        <w:rPr>
          <w:rFonts w:ascii="宋体" w:hAnsi="宋体"/>
          <w:color w:val="auto"/>
          <w:szCs w:val="21"/>
          <w:highlight w:val="none"/>
        </w:rPr>
      </w:pPr>
      <w:r>
        <w:rPr>
          <w:rFonts w:hint="eastAsia" w:ascii="宋体" w:hAnsi="宋体"/>
          <w:color w:val="auto"/>
          <w:szCs w:val="21"/>
          <w:highlight w:val="none"/>
        </w:rPr>
        <w:t>本标准主要起草人：</w:t>
      </w:r>
      <w:r>
        <w:rPr>
          <w:rFonts w:ascii="宋体" w:hAnsi="宋体"/>
          <w:color w:val="auto"/>
          <w:szCs w:val="21"/>
          <w:highlight w:val="none"/>
        </w:rPr>
        <w:t>XXX</w:t>
      </w:r>
      <w:r>
        <w:rPr>
          <w:rFonts w:hint="eastAsia" w:ascii="宋体" w:hAnsi="宋体"/>
          <w:color w:val="auto"/>
          <w:szCs w:val="21"/>
          <w:highlight w:val="none"/>
        </w:rPr>
        <w:t>、</w:t>
      </w:r>
      <w:r>
        <w:rPr>
          <w:rFonts w:ascii="宋体" w:hAnsi="宋体"/>
          <w:color w:val="auto"/>
          <w:szCs w:val="21"/>
          <w:highlight w:val="none"/>
        </w:rPr>
        <w:t>XXX</w:t>
      </w:r>
      <w:r>
        <w:rPr>
          <w:rFonts w:hint="eastAsia" w:ascii="宋体" w:hAnsi="宋体"/>
          <w:color w:val="auto"/>
          <w:szCs w:val="21"/>
          <w:highlight w:val="none"/>
        </w:rPr>
        <w:t>。</w:t>
      </w:r>
    </w:p>
    <w:p>
      <w:pPr>
        <w:widowControl/>
        <w:jc w:val="left"/>
        <w:rPr>
          <w:rFonts w:eastAsia="方正仿宋_GBK"/>
          <w:color w:val="auto"/>
          <w:sz w:val="32"/>
          <w:szCs w:val="32"/>
          <w:highlight w:val="none"/>
        </w:rPr>
      </w:pPr>
      <w:r>
        <w:rPr>
          <w:rFonts w:eastAsia="方正仿宋_GBK"/>
          <w:color w:val="auto"/>
          <w:sz w:val="32"/>
          <w:szCs w:val="32"/>
          <w:highlight w:val="none"/>
        </w:rPr>
        <w:br w:type="page"/>
      </w:r>
    </w:p>
    <w:p>
      <w:pPr>
        <w:jc w:val="center"/>
        <w:rPr>
          <w:rFonts w:eastAsia="方正仿宋_GBK"/>
          <w:color w:val="auto"/>
          <w:sz w:val="32"/>
          <w:szCs w:val="32"/>
          <w:highlight w:val="none"/>
        </w:rPr>
      </w:pPr>
      <w:r>
        <w:rPr>
          <w:rFonts w:hint="eastAsia" w:eastAsia="方正仿宋_GBK"/>
          <w:color w:val="auto"/>
          <w:sz w:val="32"/>
          <w:szCs w:val="32"/>
          <w:highlight w:val="none"/>
        </w:rPr>
        <w:t>电子会计档案管理规范</w:t>
      </w:r>
    </w:p>
    <w:p>
      <w:pPr>
        <w:jc w:val="center"/>
        <w:rPr>
          <w:rFonts w:eastAsia="方正仿宋_GBK"/>
          <w:color w:val="auto"/>
          <w:szCs w:val="21"/>
          <w:highlight w:val="none"/>
        </w:rPr>
      </w:pPr>
    </w:p>
    <w:p>
      <w:pPr>
        <w:pStyle w:val="66"/>
        <w:spacing w:before="312" w:after="312"/>
        <w:rPr>
          <w:color w:val="auto"/>
          <w:highlight w:val="none"/>
        </w:rPr>
      </w:pPr>
      <w:bookmarkStart w:id="17" w:name="_Toc918831750"/>
      <w:r>
        <w:rPr>
          <w:rFonts w:hint="eastAsia"/>
          <w:color w:val="auto"/>
          <w:highlight w:val="none"/>
        </w:rPr>
        <w:t>适用范围</w:t>
      </w:r>
      <w:bookmarkEnd w:id="17"/>
    </w:p>
    <w:p>
      <w:pPr>
        <w:ind w:firstLine="373" w:firstLineChars="178"/>
        <w:rPr>
          <w:color w:val="auto"/>
          <w:szCs w:val="21"/>
          <w:highlight w:val="none"/>
        </w:rPr>
      </w:pPr>
      <w:r>
        <w:rPr>
          <w:rFonts w:hint="eastAsia"/>
          <w:color w:val="auto"/>
          <w:szCs w:val="21"/>
          <w:highlight w:val="none"/>
        </w:rPr>
        <w:t>本标准规定了电子会计资料收集、整理、归档移交和电子会计档案接收、保管、统计、利用、鉴定、处置等工作的一般方法。</w:t>
      </w:r>
    </w:p>
    <w:p>
      <w:pPr>
        <w:ind w:firstLine="373" w:firstLineChars="178"/>
        <w:rPr>
          <w:color w:val="auto"/>
          <w:szCs w:val="21"/>
          <w:highlight w:val="none"/>
        </w:rPr>
      </w:pPr>
      <w:r>
        <w:rPr>
          <w:rFonts w:hint="eastAsia"/>
          <w:color w:val="auto"/>
          <w:szCs w:val="21"/>
          <w:highlight w:val="none"/>
        </w:rPr>
        <w:t>本标准适用于机关、团体、企业事业单位和其他组织（以下简称“单位”）开展电子会计档案管理工作。</w:t>
      </w:r>
    </w:p>
    <w:p>
      <w:pPr>
        <w:pStyle w:val="66"/>
        <w:spacing w:before="312" w:after="312"/>
        <w:rPr>
          <w:color w:val="auto"/>
          <w:highlight w:val="none"/>
        </w:rPr>
      </w:pPr>
      <w:bookmarkStart w:id="18" w:name="_Toc294750102"/>
      <w:r>
        <w:rPr>
          <w:rFonts w:hint="eastAsia"/>
          <w:color w:val="auto"/>
          <w:highlight w:val="none"/>
        </w:rPr>
        <w:t>规范性引用文件</w:t>
      </w:r>
      <w:bookmarkEnd w:id="18"/>
    </w:p>
    <w:p>
      <w:pPr>
        <w:pStyle w:val="40"/>
        <w:wordWrap w:val="0"/>
        <w:rPr>
          <w:color w:val="auto"/>
          <w:szCs w:val="21"/>
          <w:highlight w:val="none"/>
        </w:rPr>
      </w:pPr>
      <w:r>
        <w:rPr>
          <w:rFonts w:hint="eastAsia"/>
          <w:color w:val="auto"/>
          <w:szCs w:val="21"/>
          <w:highlight w:val="none"/>
        </w:rPr>
        <w:t>下列文件对于本文件的应用是必不可少的。凡是注日期的引用文件，仅注日期的版本适用于本文件。凡是不注日期的引用文件，其最新版本（包括所有的修改单）适用于本文件。</w:t>
      </w:r>
    </w:p>
    <w:p>
      <w:pPr>
        <w:wordWrap w:val="0"/>
        <w:ind w:firstLine="426"/>
        <w:rPr>
          <w:rFonts w:ascii="宋体"/>
          <w:color w:val="auto"/>
          <w:kern w:val="0"/>
          <w:szCs w:val="21"/>
          <w:highlight w:val="none"/>
        </w:rPr>
      </w:pPr>
      <w:r>
        <w:rPr>
          <w:rFonts w:ascii="宋体" w:hAnsi="宋体"/>
          <w:color w:val="auto"/>
          <w:kern w:val="0"/>
          <w:szCs w:val="21"/>
          <w:highlight w:val="none"/>
        </w:rPr>
        <w:t xml:space="preserve">GB/T 18894 </w:t>
      </w:r>
      <w:r>
        <w:rPr>
          <w:rFonts w:hint="eastAsia" w:ascii="宋体" w:hAnsi="宋体"/>
          <w:color w:val="auto"/>
          <w:kern w:val="0"/>
          <w:szCs w:val="21"/>
          <w:highlight w:val="none"/>
        </w:rPr>
        <w:t xml:space="preserve"> </w:t>
      </w:r>
      <w:r>
        <w:rPr>
          <w:rFonts w:ascii="宋体"/>
          <w:color w:val="auto"/>
          <w:kern w:val="0"/>
          <w:szCs w:val="21"/>
          <w:highlight w:val="none"/>
        </w:rPr>
        <w:t>电子文件归档与电子档案管理规范</w:t>
      </w:r>
    </w:p>
    <w:p>
      <w:pPr>
        <w:wordWrap w:val="0"/>
        <w:ind w:firstLine="426"/>
        <w:rPr>
          <w:rFonts w:ascii="宋体" w:hAnsi="宋体"/>
          <w:color w:val="auto"/>
          <w:kern w:val="0"/>
          <w:szCs w:val="21"/>
          <w:highlight w:val="none"/>
        </w:rPr>
      </w:pPr>
      <w:r>
        <w:rPr>
          <w:rFonts w:hint="eastAsia" w:ascii="宋体" w:hAnsi="宋体"/>
          <w:color w:val="auto"/>
          <w:kern w:val="0"/>
          <w:szCs w:val="21"/>
          <w:highlight w:val="none"/>
        </w:rPr>
        <w:t>DA/T 38  电子文件归档光盘技术要求和应用规范</w:t>
      </w:r>
    </w:p>
    <w:p>
      <w:pPr>
        <w:wordWrap w:val="0"/>
        <w:ind w:firstLine="426"/>
        <w:rPr>
          <w:rFonts w:ascii="宋体" w:hAnsi="宋体"/>
          <w:color w:val="auto"/>
          <w:kern w:val="0"/>
          <w:szCs w:val="21"/>
          <w:highlight w:val="none"/>
        </w:rPr>
      </w:pPr>
      <w:r>
        <w:rPr>
          <w:rFonts w:hint="eastAsia" w:ascii="宋体" w:hAnsi="宋体"/>
          <w:color w:val="auto"/>
          <w:kern w:val="0"/>
          <w:szCs w:val="21"/>
          <w:highlight w:val="none"/>
        </w:rPr>
        <w:t>D</w:t>
      </w:r>
      <w:r>
        <w:rPr>
          <w:rFonts w:ascii="宋体" w:hAnsi="宋体"/>
          <w:color w:val="auto"/>
          <w:kern w:val="0"/>
          <w:szCs w:val="21"/>
          <w:highlight w:val="none"/>
        </w:rPr>
        <w:t>A/T 39</w:t>
      </w:r>
      <w:r>
        <w:rPr>
          <w:rFonts w:hint="eastAsia" w:ascii="宋体" w:hAnsi="宋体"/>
          <w:color w:val="auto"/>
          <w:kern w:val="0"/>
          <w:szCs w:val="21"/>
          <w:highlight w:val="none"/>
        </w:rPr>
        <w:t>　会计档案案卷格式</w:t>
      </w:r>
    </w:p>
    <w:p>
      <w:pPr>
        <w:wordWrap w:val="0"/>
        <w:ind w:firstLine="426"/>
        <w:rPr>
          <w:rFonts w:ascii="宋体" w:hAnsi="宋体"/>
          <w:color w:val="auto"/>
          <w:kern w:val="0"/>
          <w:szCs w:val="21"/>
          <w:highlight w:val="none"/>
        </w:rPr>
      </w:pPr>
      <w:r>
        <w:rPr>
          <w:rFonts w:hint="eastAsia" w:ascii="宋体" w:hAnsi="宋体"/>
          <w:color w:val="auto"/>
          <w:kern w:val="0"/>
          <w:szCs w:val="21"/>
          <w:highlight w:val="none"/>
        </w:rPr>
        <w:t>DA/T 46  文书类电子文件元数据方案</w:t>
      </w:r>
    </w:p>
    <w:p>
      <w:pPr>
        <w:wordWrap w:val="0"/>
        <w:ind w:firstLine="426"/>
        <w:rPr>
          <w:rFonts w:ascii="宋体" w:hAnsi="宋体"/>
          <w:color w:val="auto"/>
          <w:kern w:val="0"/>
          <w:szCs w:val="21"/>
          <w:highlight w:val="none"/>
        </w:rPr>
      </w:pPr>
      <w:r>
        <w:rPr>
          <w:rFonts w:hint="eastAsia" w:ascii="宋体" w:hAnsi="宋体"/>
          <w:color w:val="auto"/>
          <w:kern w:val="0"/>
          <w:szCs w:val="21"/>
          <w:highlight w:val="none"/>
        </w:rPr>
        <w:t>DA/T 48  基于XML的电子文件封装规范</w:t>
      </w:r>
    </w:p>
    <w:p>
      <w:pPr>
        <w:wordWrap w:val="0"/>
        <w:ind w:firstLine="426"/>
        <w:rPr>
          <w:rFonts w:ascii="宋体" w:hAnsi="宋体"/>
          <w:color w:val="auto"/>
          <w:kern w:val="0"/>
          <w:szCs w:val="21"/>
          <w:highlight w:val="none"/>
        </w:rPr>
      </w:pPr>
      <w:r>
        <w:rPr>
          <w:rFonts w:hint="eastAsia" w:ascii="宋体" w:hAnsi="宋体"/>
          <w:color w:val="auto"/>
          <w:kern w:val="0"/>
          <w:szCs w:val="21"/>
          <w:highlight w:val="none"/>
        </w:rPr>
        <w:t>DA/T 70  文书类电子档案检测一般要求</w:t>
      </w:r>
    </w:p>
    <w:p>
      <w:pPr>
        <w:wordWrap w:val="0"/>
        <w:ind w:firstLine="426"/>
        <w:rPr>
          <w:rFonts w:ascii="宋体" w:hAnsi="宋体"/>
          <w:color w:val="auto"/>
          <w:kern w:val="0"/>
          <w:szCs w:val="21"/>
          <w:highlight w:val="none"/>
        </w:rPr>
      </w:pPr>
      <w:r>
        <w:rPr>
          <w:rFonts w:hint="eastAsia" w:ascii="宋体" w:hAnsi="宋体"/>
          <w:color w:val="auto"/>
          <w:kern w:val="0"/>
          <w:szCs w:val="21"/>
          <w:highlight w:val="none"/>
        </w:rPr>
        <w:t xml:space="preserve">DA/T 74 </w:t>
      </w:r>
      <w:r>
        <w:rPr>
          <w:color w:val="auto"/>
          <w:highlight w:val="none"/>
        </w:rPr>
        <w:fldChar w:fldCharType="begin"/>
      </w:r>
      <w:r>
        <w:rPr>
          <w:color w:val="auto"/>
          <w:highlight w:val="none"/>
        </w:rPr>
        <w:instrText xml:space="preserve"> HYPERLINK "http://www.saac.gov.cn/daj/hybz/201903/46c3b37764814570a83b43891fb639e3/files/a1dcdcceb9c845609522fd1362c35b8a.pdf" \t "_blank" \o "DA/T 74—2019 电子档案存储用可录类蓝光光盘（BD-R）技术要求和应用规范" </w:instrText>
      </w:r>
      <w:r>
        <w:rPr>
          <w:color w:val="auto"/>
          <w:highlight w:val="none"/>
        </w:rPr>
        <w:fldChar w:fldCharType="separate"/>
      </w:r>
      <w:r>
        <w:rPr>
          <w:rFonts w:hint="eastAsia" w:ascii="宋体" w:hAnsi="宋体"/>
          <w:color w:val="auto"/>
          <w:kern w:val="0"/>
          <w:szCs w:val="21"/>
          <w:highlight w:val="none"/>
        </w:rPr>
        <w:t xml:space="preserve"> </w:t>
      </w:r>
      <w:r>
        <w:rPr>
          <w:rFonts w:ascii="宋体" w:hAnsi="宋体"/>
          <w:color w:val="auto"/>
          <w:kern w:val="0"/>
          <w:szCs w:val="21"/>
          <w:highlight w:val="none"/>
        </w:rPr>
        <w:t>电子档案存储用可录类蓝光光盘（BD-R）技术要求和应用规范</w:t>
      </w:r>
      <w:r>
        <w:rPr>
          <w:rFonts w:ascii="宋体" w:hAnsi="宋体"/>
          <w:color w:val="auto"/>
          <w:kern w:val="0"/>
          <w:szCs w:val="21"/>
          <w:highlight w:val="none"/>
        </w:rPr>
        <w:fldChar w:fldCharType="end"/>
      </w:r>
    </w:p>
    <w:p>
      <w:pPr>
        <w:wordWrap w:val="0"/>
        <w:ind w:firstLine="426"/>
        <w:rPr>
          <w:rFonts w:ascii="宋体" w:hAnsi="宋体"/>
          <w:color w:val="auto"/>
          <w:kern w:val="0"/>
          <w:szCs w:val="21"/>
          <w:highlight w:val="none"/>
        </w:rPr>
      </w:pPr>
      <w:r>
        <w:rPr>
          <w:rFonts w:hint="eastAsia" w:ascii="宋体" w:hAnsi="宋体"/>
          <w:color w:val="auto"/>
          <w:kern w:val="0"/>
          <w:szCs w:val="21"/>
          <w:highlight w:val="none"/>
        </w:rPr>
        <w:t>DA/T 75  档案数据硬磁盘离线存储管理规范</w:t>
      </w:r>
    </w:p>
    <w:p>
      <w:pPr>
        <w:pStyle w:val="66"/>
        <w:spacing w:before="312" w:after="312"/>
        <w:rPr>
          <w:color w:val="auto"/>
          <w:highlight w:val="none"/>
        </w:rPr>
      </w:pPr>
      <w:bookmarkStart w:id="19" w:name="_Toc1405653744"/>
      <w:r>
        <w:rPr>
          <w:rFonts w:hint="eastAsia"/>
          <w:color w:val="auto"/>
          <w:highlight w:val="none"/>
        </w:rPr>
        <w:t>术语和定义</w:t>
      </w:r>
      <w:bookmarkEnd w:id="19"/>
    </w:p>
    <w:p>
      <w:pPr>
        <w:ind w:firstLine="373" w:firstLineChars="178"/>
        <w:rPr>
          <w:color w:val="auto"/>
          <w:szCs w:val="21"/>
          <w:highlight w:val="none"/>
        </w:rPr>
      </w:pPr>
      <w:r>
        <w:rPr>
          <w:rFonts w:hint="eastAsia"/>
          <w:color w:val="auto"/>
          <w:szCs w:val="21"/>
          <w:highlight w:val="none"/>
        </w:rPr>
        <w:t>本标准采用下列术语和定义。</w:t>
      </w:r>
    </w:p>
    <w:p>
      <w:pPr>
        <w:spacing w:beforeLines="50" w:afterLines="50"/>
        <w:rPr>
          <w:rFonts w:ascii="黑体" w:hAnsi="黑体" w:eastAsia="黑体"/>
          <w:color w:val="auto"/>
          <w:szCs w:val="21"/>
          <w:highlight w:val="none"/>
        </w:rPr>
      </w:pPr>
      <w:r>
        <w:rPr>
          <w:rFonts w:hint="eastAsia" w:ascii="黑体" w:hAnsi="黑体" w:eastAsia="黑体"/>
          <w:color w:val="auto"/>
          <w:szCs w:val="21"/>
          <w:highlight w:val="none"/>
        </w:rPr>
        <w:t>3.1</w:t>
      </w:r>
    </w:p>
    <w:p>
      <w:pPr>
        <w:spacing w:beforeLines="50" w:afterLines="50"/>
        <w:ind w:firstLine="373" w:firstLineChars="178"/>
        <w:rPr>
          <w:rFonts w:ascii="黑体" w:hAnsi="黑体" w:eastAsia="黑体"/>
          <w:color w:val="auto"/>
          <w:szCs w:val="21"/>
          <w:highlight w:val="none"/>
        </w:rPr>
      </w:pPr>
      <w:r>
        <w:rPr>
          <w:rFonts w:hint="eastAsia" w:ascii="黑体" w:hAnsi="黑体" w:eastAsia="黑体"/>
          <w:color w:val="auto"/>
          <w:szCs w:val="21"/>
          <w:highlight w:val="none"/>
        </w:rPr>
        <w:t>电子会计资料</w:t>
      </w:r>
      <w:r>
        <w:rPr>
          <w:rFonts w:ascii="黑体" w:hAnsi="黑体"/>
          <w:color w:val="auto"/>
          <w:highlight w:val="none"/>
        </w:rPr>
        <w:t>electronic accounting records</w:t>
      </w:r>
      <w:r>
        <w:rPr>
          <w:rFonts w:ascii="黑体" w:hAnsi="黑体" w:eastAsia="黑体"/>
          <w:color w:val="auto"/>
          <w:szCs w:val="21"/>
          <w:highlight w:val="none"/>
        </w:rPr>
        <w:t xml:space="preserve"> </w:t>
      </w:r>
    </w:p>
    <w:p>
      <w:pPr>
        <w:ind w:firstLine="373" w:firstLineChars="178"/>
        <w:rPr>
          <w:rFonts w:ascii="宋体" w:hAnsi="宋体" w:cs="宋体"/>
          <w:color w:val="auto"/>
          <w:szCs w:val="21"/>
          <w:highlight w:val="none"/>
        </w:rPr>
      </w:pPr>
      <w:r>
        <w:rPr>
          <w:rFonts w:hint="eastAsia" w:ascii="宋体" w:hAnsi="宋体" w:cs="宋体"/>
          <w:color w:val="auto"/>
          <w:szCs w:val="21"/>
          <w:highlight w:val="none"/>
        </w:rPr>
        <w:t>单位在进行会计核算等过程中通过计算机等电子设备形成、传输、存储的记录和反映单位经济业务事项的数字格式的各种会计信息记录。</w:t>
      </w:r>
    </w:p>
    <w:p>
      <w:pPr>
        <w:ind w:firstLine="373" w:firstLineChars="178"/>
        <w:rPr>
          <w:rFonts w:ascii="宋体" w:hAnsi="宋体" w:cs="宋体"/>
          <w:color w:val="auto"/>
          <w:szCs w:val="21"/>
          <w:highlight w:val="none"/>
        </w:rPr>
      </w:pPr>
      <w:r>
        <w:rPr>
          <w:rFonts w:hint="eastAsia" w:ascii="宋体" w:hAnsi="宋体" w:cs="宋体"/>
          <w:color w:val="auto"/>
          <w:szCs w:val="21"/>
          <w:highlight w:val="none"/>
        </w:rPr>
        <w:t>电子会计资料包括以电子形式存在的会计凭证、会计账簿、财务会计报告和其他会计资料。其中，财务会计报告包括企业财务会计报告、政府会计主体的财务报告和决算报告、民间非营利组织财务会计报告，以及其他会计主体的财务会计报告。</w:t>
      </w:r>
    </w:p>
    <w:p>
      <w:pPr>
        <w:spacing w:beforeLines="50" w:afterLines="50"/>
        <w:rPr>
          <w:rFonts w:ascii="黑体" w:hAnsi="黑体" w:eastAsia="黑体"/>
          <w:color w:val="auto"/>
          <w:szCs w:val="21"/>
          <w:highlight w:val="none"/>
        </w:rPr>
      </w:pPr>
      <w:r>
        <w:rPr>
          <w:rFonts w:ascii="黑体" w:hAnsi="黑体" w:eastAsia="黑体"/>
          <w:color w:val="auto"/>
          <w:szCs w:val="21"/>
          <w:highlight w:val="none"/>
        </w:rPr>
        <w:t>3.2</w:t>
      </w:r>
    </w:p>
    <w:p>
      <w:pPr>
        <w:spacing w:beforeLines="50" w:afterLines="50"/>
        <w:ind w:firstLine="420" w:firstLineChars="200"/>
        <w:rPr>
          <w:rFonts w:ascii="黑体" w:hAnsi="黑体" w:eastAsia="黑体"/>
          <w:color w:val="auto"/>
          <w:szCs w:val="21"/>
          <w:highlight w:val="none"/>
        </w:rPr>
      </w:pPr>
      <w:r>
        <w:rPr>
          <w:rFonts w:hint="eastAsia" w:ascii="黑体" w:hAnsi="黑体" w:eastAsia="黑体"/>
          <w:color w:val="auto"/>
          <w:szCs w:val="21"/>
          <w:highlight w:val="none"/>
        </w:rPr>
        <w:t>电子会计档案</w:t>
      </w:r>
      <w:r>
        <w:rPr>
          <w:rFonts w:ascii="黑体" w:hAnsi="黑体"/>
          <w:color w:val="auto"/>
          <w:highlight w:val="none"/>
        </w:rPr>
        <w:t>electronic accounting archives</w:t>
      </w:r>
    </w:p>
    <w:p>
      <w:pPr>
        <w:ind w:firstLine="373" w:firstLineChars="178"/>
        <w:rPr>
          <w:rFonts w:ascii="宋体" w:hAnsi="宋体" w:cs="宋体"/>
          <w:color w:val="auto"/>
          <w:szCs w:val="21"/>
          <w:highlight w:val="none"/>
        </w:rPr>
      </w:pPr>
      <w:r>
        <w:rPr>
          <w:rFonts w:hint="eastAsia" w:ascii="宋体" w:hAnsi="宋体" w:cs="宋体"/>
          <w:color w:val="auto"/>
          <w:szCs w:val="21"/>
          <w:highlight w:val="none"/>
        </w:rPr>
        <w:t>在会计核算工作中形成，由电子计算机直接形成、传输和存储的并归档保存的电子会计资料。</w:t>
      </w:r>
    </w:p>
    <w:p>
      <w:pPr>
        <w:spacing w:beforeLines="50" w:afterLines="50"/>
        <w:rPr>
          <w:rFonts w:ascii="黑体" w:hAnsi="黑体" w:eastAsia="黑体"/>
          <w:color w:val="auto"/>
          <w:szCs w:val="21"/>
          <w:highlight w:val="none"/>
        </w:rPr>
      </w:pPr>
      <w:r>
        <w:rPr>
          <w:rFonts w:hint="eastAsia" w:ascii="黑体" w:hAnsi="黑体" w:eastAsia="黑体"/>
          <w:color w:val="auto"/>
          <w:szCs w:val="21"/>
          <w:highlight w:val="none"/>
        </w:rPr>
        <w:t>3.</w:t>
      </w:r>
      <w:r>
        <w:rPr>
          <w:rFonts w:ascii="黑体" w:hAnsi="黑体" w:eastAsia="黑体"/>
          <w:color w:val="auto"/>
          <w:szCs w:val="21"/>
          <w:highlight w:val="none"/>
        </w:rPr>
        <w:t>3</w:t>
      </w:r>
    </w:p>
    <w:p>
      <w:pPr>
        <w:spacing w:beforeLines="50" w:afterLines="50"/>
        <w:ind w:firstLine="373" w:firstLineChars="178"/>
        <w:rPr>
          <w:rFonts w:ascii="黑体" w:hAnsi="黑体" w:eastAsia="黑体"/>
          <w:color w:val="auto"/>
          <w:szCs w:val="21"/>
          <w:highlight w:val="none"/>
        </w:rPr>
      </w:pPr>
      <w:r>
        <w:rPr>
          <w:rFonts w:hint="eastAsia" w:ascii="黑体" w:hAnsi="黑体" w:eastAsia="黑体"/>
          <w:color w:val="auto"/>
          <w:szCs w:val="21"/>
          <w:highlight w:val="none"/>
        </w:rPr>
        <w:t>会计核算系统</w:t>
      </w:r>
      <w:r>
        <w:rPr>
          <w:rFonts w:ascii="黑体" w:hAnsi="黑体"/>
          <w:color w:val="auto"/>
          <w:highlight w:val="none"/>
        </w:rPr>
        <w:t xml:space="preserve">accounting </w:t>
      </w:r>
      <w:r>
        <w:rPr>
          <w:rFonts w:hint="eastAsia" w:ascii="黑体" w:hAnsi="黑体"/>
          <w:color w:val="auto"/>
          <w:highlight w:val="none"/>
        </w:rPr>
        <w:t>system</w:t>
      </w:r>
    </w:p>
    <w:p>
      <w:pPr>
        <w:ind w:firstLine="373" w:firstLineChars="178"/>
        <w:rPr>
          <w:rFonts w:ascii="宋体" w:hAnsi="宋体" w:cs="宋体"/>
          <w:color w:val="auto"/>
          <w:szCs w:val="21"/>
          <w:highlight w:val="none"/>
        </w:rPr>
      </w:pPr>
      <w:r>
        <w:rPr>
          <w:rFonts w:hint="eastAsia" w:ascii="宋体" w:hAnsi="宋体" w:cs="宋体"/>
          <w:color w:val="auto"/>
          <w:szCs w:val="21"/>
          <w:highlight w:val="none"/>
        </w:rPr>
        <w:t>单位为进行会计核算而使用的，用于直接采集数据，处理会计业务，生成会计凭证、会计账簿、财务会计报告等会计资料，并对会计资料进行转换、输出、分析和利用的计算机软件、软件系统或软件功能模块</w:t>
      </w:r>
      <w:r>
        <w:rPr>
          <w:rFonts w:ascii="宋体" w:hAnsi="宋体" w:cs="宋体"/>
          <w:color w:val="auto"/>
          <w:szCs w:val="21"/>
          <w:highlight w:val="none"/>
        </w:rPr>
        <w:t>。</w:t>
      </w:r>
    </w:p>
    <w:p>
      <w:pPr>
        <w:spacing w:beforeLines="50" w:afterLines="50"/>
        <w:rPr>
          <w:rFonts w:ascii="黑体" w:hAnsi="黑体" w:eastAsia="黑体"/>
          <w:color w:val="auto"/>
          <w:szCs w:val="21"/>
          <w:highlight w:val="none"/>
        </w:rPr>
      </w:pPr>
      <w:r>
        <w:rPr>
          <w:rFonts w:hint="eastAsia" w:ascii="黑体" w:hAnsi="黑体" w:eastAsia="黑体"/>
          <w:color w:val="auto"/>
          <w:szCs w:val="21"/>
          <w:highlight w:val="none"/>
        </w:rPr>
        <w:t>3.</w:t>
      </w:r>
      <w:r>
        <w:rPr>
          <w:rFonts w:ascii="黑体" w:hAnsi="黑体" w:eastAsia="黑体"/>
          <w:color w:val="auto"/>
          <w:szCs w:val="21"/>
          <w:highlight w:val="none"/>
        </w:rPr>
        <w:t>4</w:t>
      </w:r>
    </w:p>
    <w:p>
      <w:pPr>
        <w:spacing w:beforeLines="50" w:afterLines="50"/>
        <w:ind w:firstLine="420" w:firstLineChars="200"/>
        <w:rPr>
          <w:rFonts w:ascii="黑体" w:hAnsi="黑体" w:eastAsia="黑体"/>
          <w:color w:val="auto"/>
          <w:szCs w:val="21"/>
          <w:highlight w:val="none"/>
        </w:rPr>
      </w:pPr>
      <w:r>
        <w:rPr>
          <w:rFonts w:hint="eastAsia" w:ascii="黑体" w:hAnsi="黑体" w:eastAsia="黑体"/>
          <w:color w:val="auto"/>
          <w:szCs w:val="21"/>
          <w:highlight w:val="none"/>
        </w:rPr>
        <w:t>电子会计档案管理系统</w:t>
      </w:r>
      <w:r>
        <w:rPr>
          <w:rFonts w:ascii="黑体" w:hAnsi="黑体"/>
          <w:color w:val="auto"/>
          <w:highlight w:val="none"/>
        </w:rPr>
        <w:t>electronic accounting archives management system</w:t>
      </w:r>
    </w:p>
    <w:p>
      <w:pPr>
        <w:spacing w:beforeLines="50" w:afterLines="50"/>
        <w:ind w:firstLine="373" w:firstLineChars="178"/>
        <w:rPr>
          <w:color w:val="auto"/>
          <w:szCs w:val="21"/>
          <w:highlight w:val="none"/>
        </w:rPr>
      </w:pPr>
      <w:r>
        <w:rPr>
          <w:rFonts w:hint="eastAsia"/>
          <w:color w:val="auto"/>
          <w:szCs w:val="21"/>
          <w:highlight w:val="none"/>
        </w:rPr>
        <w:t>单位用于电子会计资料收集、整理、归档移交以及电子会计档案接收、保管、统计、利用、鉴定、处置等业务的电子档案管理系统</w:t>
      </w:r>
      <w:r>
        <w:rPr>
          <w:rFonts w:hint="eastAsia" w:ascii="宋体" w:hAnsi="宋体" w:cs="宋体"/>
          <w:color w:val="auto"/>
          <w:szCs w:val="21"/>
          <w:highlight w:val="none"/>
        </w:rPr>
        <w:t>或软件功能模块</w:t>
      </w:r>
      <w:r>
        <w:rPr>
          <w:rFonts w:hint="eastAsia"/>
          <w:color w:val="auto"/>
          <w:szCs w:val="21"/>
          <w:highlight w:val="none"/>
        </w:rPr>
        <w:t>。</w:t>
      </w:r>
    </w:p>
    <w:p>
      <w:pPr>
        <w:spacing w:beforeLines="50" w:afterLines="50"/>
        <w:rPr>
          <w:rFonts w:ascii="黑体" w:hAnsi="黑体" w:eastAsia="黑体"/>
          <w:color w:val="auto"/>
          <w:szCs w:val="21"/>
          <w:highlight w:val="none"/>
        </w:rPr>
      </w:pPr>
      <w:r>
        <w:rPr>
          <w:rFonts w:hint="eastAsia" w:ascii="黑体" w:hAnsi="黑体" w:eastAsia="黑体"/>
          <w:color w:val="auto"/>
          <w:szCs w:val="21"/>
          <w:highlight w:val="none"/>
        </w:rPr>
        <w:t>3.</w:t>
      </w:r>
      <w:r>
        <w:rPr>
          <w:rFonts w:ascii="黑体" w:hAnsi="黑体" w:eastAsia="黑体"/>
          <w:color w:val="auto"/>
          <w:szCs w:val="21"/>
          <w:highlight w:val="none"/>
        </w:rPr>
        <w:t>5</w:t>
      </w:r>
    </w:p>
    <w:p>
      <w:pPr>
        <w:spacing w:beforeLines="50" w:afterLines="50"/>
        <w:ind w:firstLine="420" w:firstLineChars="200"/>
        <w:rPr>
          <w:rFonts w:ascii="黑体" w:hAnsi="黑体" w:eastAsia="黑体"/>
          <w:color w:val="auto"/>
          <w:szCs w:val="21"/>
          <w:highlight w:val="none"/>
        </w:rPr>
      </w:pPr>
      <w:r>
        <w:rPr>
          <w:rFonts w:hint="eastAsia" w:ascii="黑体" w:hAnsi="黑体" w:eastAsia="黑体"/>
          <w:color w:val="auto"/>
          <w:szCs w:val="21"/>
          <w:highlight w:val="none"/>
        </w:rPr>
        <w:t>接口数据</w:t>
      </w:r>
      <w:r>
        <w:rPr>
          <w:rFonts w:ascii="黑体" w:hAnsi="黑体" w:eastAsia="黑体"/>
          <w:color w:val="auto"/>
          <w:szCs w:val="21"/>
          <w:highlight w:val="none"/>
        </w:rPr>
        <w:t>Interface</w:t>
      </w:r>
      <w:r>
        <w:rPr>
          <w:rFonts w:hint="eastAsia" w:ascii="黑体" w:hAnsi="黑体" w:eastAsia="黑体"/>
          <w:color w:val="auto"/>
          <w:szCs w:val="21"/>
          <w:highlight w:val="none"/>
        </w:rPr>
        <w:t xml:space="preserve"> data</w:t>
      </w:r>
    </w:p>
    <w:p>
      <w:pPr>
        <w:ind w:firstLine="373" w:firstLineChars="178"/>
        <w:rPr>
          <w:color w:val="auto"/>
          <w:szCs w:val="21"/>
          <w:highlight w:val="none"/>
        </w:rPr>
      </w:pPr>
      <w:r>
        <w:rPr>
          <w:rFonts w:hint="eastAsia"/>
          <w:color w:val="auto"/>
          <w:szCs w:val="21"/>
          <w:highlight w:val="none"/>
        </w:rPr>
        <w:t>信息</w:t>
      </w:r>
      <w:r>
        <w:rPr>
          <w:color w:val="auto"/>
          <w:szCs w:val="21"/>
          <w:highlight w:val="none"/>
        </w:rPr>
        <w:t>系统之间传送数据、交换信息</w:t>
      </w:r>
      <w:r>
        <w:rPr>
          <w:rFonts w:hint="eastAsia"/>
          <w:color w:val="auto"/>
          <w:szCs w:val="21"/>
          <w:highlight w:val="none"/>
        </w:rPr>
        <w:t>的内容约定</w:t>
      </w:r>
      <w:r>
        <w:rPr>
          <w:color w:val="auto"/>
          <w:szCs w:val="21"/>
          <w:highlight w:val="none"/>
        </w:rPr>
        <w:t>。</w:t>
      </w:r>
    </w:p>
    <w:p>
      <w:pPr>
        <w:pStyle w:val="66"/>
        <w:spacing w:before="312" w:after="312"/>
        <w:rPr>
          <w:color w:val="auto"/>
          <w:highlight w:val="none"/>
        </w:rPr>
      </w:pPr>
      <w:bookmarkStart w:id="20" w:name="_Toc2090802962"/>
      <w:r>
        <w:rPr>
          <w:rFonts w:hint="eastAsia"/>
          <w:color w:val="auto"/>
          <w:highlight w:val="none"/>
        </w:rPr>
        <w:t>管理原则</w:t>
      </w:r>
      <w:bookmarkEnd w:id="20"/>
    </w:p>
    <w:p>
      <w:pPr>
        <w:rPr>
          <w:color w:val="auto"/>
          <w:szCs w:val="21"/>
          <w:highlight w:val="none"/>
        </w:rPr>
      </w:pPr>
      <w:bookmarkStart w:id="21" w:name="_Toc66366979"/>
      <w:bookmarkStart w:id="22" w:name="_Toc579543438"/>
      <w:bookmarkStart w:id="23" w:name="_Toc2005778154"/>
      <w:r>
        <w:rPr>
          <w:rStyle w:val="68"/>
          <w:rFonts w:hint="eastAsia"/>
          <w:color w:val="auto"/>
          <w:highlight w:val="none"/>
        </w:rPr>
        <w:t>4.1</w:t>
      </w:r>
      <w:bookmarkEnd w:id="21"/>
      <w:r>
        <w:rPr>
          <w:rStyle w:val="68"/>
          <w:rFonts w:hint="eastAsia"/>
          <w:color w:val="auto"/>
          <w:highlight w:val="none"/>
        </w:rPr>
        <w:t xml:space="preserve"> </w:t>
      </w:r>
      <w:bookmarkEnd w:id="22"/>
      <w:bookmarkEnd w:id="23"/>
      <w:r>
        <w:rPr>
          <w:rFonts w:hint="eastAsia" w:ascii="宋体" w:hAnsi="宋体" w:cs="宋体"/>
          <w:color w:val="auto"/>
          <w:szCs w:val="21"/>
          <w:highlight w:val="none"/>
        </w:rPr>
        <w:t>单位应当加强电子会计档案管理工作，建立和完善电子会计资料的收集、整理、归档移交和电子会计档案的接收、保管、</w:t>
      </w:r>
      <w:r>
        <w:rPr>
          <w:rFonts w:hint="eastAsia" w:ascii="宋体" w:hAnsi="宋体" w:cs="宋体"/>
          <w:color w:val="auto"/>
          <w:szCs w:val="21"/>
          <w:highlight w:val="none"/>
          <w:lang w:eastAsia="zh-CN"/>
        </w:rPr>
        <w:t>统计、</w:t>
      </w:r>
      <w:r>
        <w:rPr>
          <w:rFonts w:hint="eastAsia" w:ascii="宋体" w:hAnsi="宋体" w:cs="宋体"/>
          <w:color w:val="auto"/>
          <w:szCs w:val="21"/>
          <w:highlight w:val="none"/>
        </w:rPr>
        <w:t>利用、鉴定、处置等管理制度，采取可靠的安全防护技术和措施，保证电子会计档案在传递及存储过程中的真实、完整、可用和安全。</w:t>
      </w:r>
    </w:p>
    <w:p>
      <w:pPr>
        <w:rPr>
          <w:rFonts w:ascii="宋体" w:hAnsi="宋体" w:cs="宋体"/>
          <w:color w:val="auto"/>
          <w:szCs w:val="21"/>
          <w:highlight w:val="none"/>
        </w:rPr>
      </w:pPr>
      <w:bookmarkStart w:id="24" w:name="_Toc66366980"/>
      <w:bookmarkStart w:id="25" w:name="_Toc276309316"/>
      <w:bookmarkStart w:id="26" w:name="_Toc1053437665"/>
      <w:r>
        <w:rPr>
          <w:rStyle w:val="68"/>
          <w:rFonts w:hint="eastAsia"/>
          <w:color w:val="auto"/>
          <w:highlight w:val="none"/>
        </w:rPr>
        <w:t>4.2</w:t>
      </w:r>
      <w:bookmarkEnd w:id="24"/>
      <w:r>
        <w:rPr>
          <w:rStyle w:val="68"/>
          <w:rFonts w:hint="eastAsia"/>
          <w:color w:val="auto"/>
          <w:highlight w:val="none"/>
        </w:rPr>
        <w:t xml:space="preserve">  </w:t>
      </w:r>
      <w:bookmarkEnd w:id="25"/>
      <w:bookmarkEnd w:id="26"/>
      <w:r>
        <w:rPr>
          <w:rFonts w:hint="eastAsia" w:ascii="宋体" w:hAnsi="宋体" w:cs="宋体"/>
          <w:color w:val="auto"/>
          <w:szCs w:val="21"/>
          <w:highlight w:val="none"/>
        </w:rPr>
        <w:t>单位应将电子会计档案管理工作纳入会计人员、档案人员、相关业务人员岗位职责和绩效考核。</w:t>
      </w:r>
    </w:p>
    <w:p>
      <w:pPr>
        <w:rPr>
          <w:rFonts w:ascii="宋体" w:hAnsi="宋体" w:cs="宋体"/>
          <w:color w:val="auto"/>
          <w:szCs w:val="21"/>
          <w:highlight w:val="none"/>
        </w:rPr>
      </w:pPr>
      <w:bookmarkStart w:id="27" w:name="_Toc66366981"/>
      <w:bookmarkStart w:id="28" w:name="_Toc1344342629"/>
      <w:bookmarkStart w:id="29" w:name="_Toc1876913334"/>
      <w:r>
        <w:rPr>
          <w:rStyle w:val="68"/>
          <w:rFonts w:hint="eastAsia"/>
          <w:color w:val="auto"/>
          <w:highlight w:val="none"/>
        </w:rPr>
        <w:t>4.3</w:t>
      </w:r>
      <w:bookmarkEnd w:id="27"/>
      <w:r>
        <w:rPr>
          <w:rStyle w:val="68"/>
          <w:rFonts w:hint="eastAsia"/>
          <w:color w:val="auto"/>
          <w:highlight w:val="none"/>
        </w:rPr>
        <w:t xml:space="preserve"> </w:t>
      </w:r>
      <w:bookmarkEnd w:id="28"/>
      <w:bookmarkEnd w:id="29"/>
      <w:r>
        <w:rPr>
          <w:rFonts w:hint="eastAsia" w:ascii="宋体" w:hAnsi="宋体" w:cs="宋体"/>
          <w:color w:val="auto"/>
          <w:szCs w:val="21"/>
          <w:highlight w:val="none"/>
        </w:rPr>
        <w:t>单位的会计机构或会计人员所属机构（以下统称单位会计管理机构）负责将应当归档的电子会计资料按照归档范围和归档要求整理，定期向单位的档案管理机构或者档案工作人员所属机构（以下统称单位档案管理机构）移交。</w:t>
      </w:r>
    </w:p>
    <w:p>
      <w:pPr>
        <w:rPr>
          <w:rFonts w:ascii="宋体" w:hAnsi="宋体" w:cs="宋体"/>
          <w:color w:val="auto"/>
          <w:szCs w:val="21"/>
          <w:highlight w:val="none"/>
        </w:rPr>
      </w:pPr>
      <w:bookmarkStart w:id="30" w:name="_Toc1479568502"/>
      <w:bookmarkStart w:id="31" w:name="_Toc66366982"/>
      <w:bookmarkStart w:id="32" w:name="_Toc1078152738"/>
      <w:r>
        <w:rPr>
          <w:rStyle w:val="68"/>
          <w:rFonts w:hint="eastAsia"/>
          <w:color w:val="auto"/>
          <w:highlight w:val="none"/>
        </w:rPr>
        <w:t>4.4</w:t>
      </w:r>
      <w:bookmarkEnd w:id="30"/>
      <w:bookmarkEnd w:id="31"/>
      <w:bookmarkEnd w:id="32"/>
      <w:r>
        <w:rPr>
          <w:rFonts w:hint="eastAsia" w:ascii="宋体" w:hAnsi="宋体" w:cs="宋体"/>
          <w:color w:val="auto"/>
          <w:szCs w:val="21"/>
          <w:highlight w:val="none"/>
        </w:rPr>
        <w:t>单位档案管理机构负责电子会计档案的接收、保管、统计、利用、鉴定、处置等工作，并对</w:t>
      </w:r>
      <w:r>
        <w:rPr>
          <w:rFonts w:hint="eastAsia" w:ascii="宋体" w:hAnsi="宋体" w:cs="宋体"/>
          <w:color w:val="auto"/>
          <w:szCs w:val="21"/>
          <w:highlight w:val="none"/>
          <w:lang w:eastAsia="zh-CN"/>
        </w:rPr>
        <w:t>电子</w:t>
      </w:r>
      <w:r>
        <w:rPr>
          <w:rFonts w:hint="eastAsia" w:ascii="宋体" w:hAnsi="宋体" w:cs="宋体"/>
          <w:color w:val="auto"/>
          <w:szCs w:val="21"/>
          <w:highlight w:val="none"/>
        </w:rPr>
        <w:t>会计</w:t>
      </w:r>
      <w:r>
        <w:rPr>
          <w:rFonts w:hint="eastAsia" w:ascii="宋体" w:hAnsi="宋体" w:cs="宋体"/>
          <w:color w:val="auto"/>
          <w:szCs w:val="21"/>
          <w:highlight w:val="none"/>
          <w:lang w:eastAsia="zh-CN"/>
        </w:rPr>
        <w:t>资料的收集、整理、归档移交等工作</w:t>
      </w:r>
      <w:r>
        <w:rPr>
          <w:rFonts w:hint="eastAsia" w:ascii="宋体" w:hAnsi="宋体" w:cs="宋体"/>
          <w:color w:val="auto"/>
          <w:szCs w:val="21"/>
          <w:highlight w:val="none"/>
        </w:rPr>
        <w:t>进行指导和监督。单位也可以委托具备档案管理条件的机构代为管理电子会计档案。</w:t>
      </w:r>
    </w:p>
    <w:p>
      <w:pPr>
        <w:rPr>
          <w:rFonts w:ascii="宋体" w:hAnsi="宋体" w:cs="宋体"/>
          <w:color w:val="auto"/>
          <w:szCs w:val="21"/>
          <w:highlight w:val="none"/>
        </w:rPr>
      </w:pPr>
      <w:bookmarkStart w:id="33" w:name="_Toc66366983"/>
      <w:bookmarkStart w:id="34" w:name="_Toc409187730"/>
      <w:bookmarkStart w:id="35" w:name="_Toc1391820144"/>
      <w:r>
        <w:rPr>
          <w:rStyle w:val="68"/>
          <w:rFonts w:hint="eastAsia"/>
          <w:color w:val="auto"/>
          <w:highlight w:val="none"/>
        </w:rPr>
        <w:t>4.5</w:t>
      </w:r>
      <w:bookmarkEnd w:id="33"/>
      <w:r>
        <w:rPr>
          <w:rStyle w:val="68"/>
          <w:rFonts w:hint="eastAsia"/>
          <w:color w:val="auto"/>
          <w:highlight w:val="none"/>
        </w:rPr>
        <w:t xml:space="preserve"> </w:t>
      </w:r>
      <w:bookmarkEnd w:id="34"/>
      <w:bookmarkEnd w:id="35"/>
      <w:r>
        <w:rPr>
          <w:rFonts w:hint="eastAsia" w:ascii="宋体" w:hAnsi="宋体" w:cs="宋体"/>
          <w:color w:val="auto"/>
          <w:szCs w:val="21"/>
          <w:highlight w:val="none"/>
        </w:rPr>
        <w:t>单位的信息技术机构在相关业务系统规划、设计、开发、实施、运维等过程中落实电子会计资料归档要求，将电子会计资料归档要求在业务系统中予以实现，提供信息技术支持，并负责电子会计档案管理系统的运行维护。</w:t>
      </w:r>
    </w:p>
    <w:p>
      <w:pPr>
        <w:rPr>
          <w:rFonts w:ascii="宋体" w:hAnsi="宋体" w:cs="宋体"/>
          <w:color w:val="auto"/>
          <w:szCs w:val="21"/>
          <w:highlight w:val="none"/>
        </w:rPr>
      </w:pPr>
      <w:bookmarkStart w:id="36" w:name="_Toc66366984"/>
      <w:bookmarkStart w:id="37" w:name="_Toc220748474"/>
      <w:bookmarkStart w:id="38" w:name="_Toc950223600"/>
      <w:r>
        <w:rPr>
          <w:rStyle w:val="68"/>
          <w:color w:val="auto"/>
          <w:highlight w:val="none"/>
        </w:rPr>
        <w:t>4.6</w:t>
      </w:r>
      <w:bookmarkEnd w:id="36"/>
      <w:r>
        <w:rPr>
          <w:rStyle w:val="68"/>
          <w:color w:val="auto"/>
          <w:highlight w:val="none"/>
        </w:rPr>
        <w:t xml:space="preserve"> </w:t>
      </w:r>
      <w:r>
        <w:rPr>
          <w:rStyle w:val="68"/>
          <w:rFonts w:hint="eastAsia"/>
          <w:color w:val="auto"/>
          <w:highlight w:val="none"/>
        </w:rPr>
        <w:t xml:space="preserve"> </w:t>
      </w:r>
      <w:bookmarkEnd w:id="37"/>
      <w:bookmarkEnd w:id="38"/>
      <w:r>
        <w:rPr>
          <w:rFonts w:hint="eastAsia" w:ascii="宋体" w:hAnsi="宋体" w:cs="宋体"/>
          <w:color w:val="auto"/>
          <w:szCs w:val="21"/>
          <w:highlight w:val="none"/>
        </w:rPr>
        <w:t>单位应当加强电子会计档案的安全保密管理，涉密电子会计资料和电子会计档案管理按照国家有关保密规定执行。</w:t>
      </w:r>
    </w:p>
    <w:p>
      <w:pPr>
        <w:rPr>
          <w:rFonts w:ascii="宋体" w:hAnsi="宋体" w:cs="宋体"/>
          <w:color w:val="auto"/>
          <w:szCs w:val="21"/>
          <w:highlight w:val="none"/>
        </w:rPr>
      </w:pPr>
      <w:bookmarkStart w:id="39" w:name="_Toc66366985"/>
      <w:bookmarkStart w:id="40" w:name="_Toc141385912"/>
      <w:bookmarkStart w:id="41" w:name="_Toc81060421"/>
      <w:r>
        <w:rPr>
          <w:rStyle w:val="68"/>
          <w:color w:val="auto"/>
          <w:highlight w:val="none"/>
        </w:rPr>
        <w:t>4.</w:t>
      </w:r>
      <w:r>
        <w:rPr>
          <w:rStyle w:val="68"/>
          <w:rFonts w:hint="eastAsia"/>
          <w:color w:val="auto"/>
          <w:highlight w:val="none"/>
        </w:rPr>
        <w:t>7</w:t>
      </w:r>
      <w:bookmarkEnd w:id="39"/>
      <w:r>
        <w:rPr>
          <w:rStyle w:val="68"/>
          <w:color w:val="auto"/>
          <w:highlight w:val="none"/>
        </w:rPr>
        <w:t xml:space="preserve"> </w:t>
      </w:r>
      <w:r>
        <w:rPr>
          <w:rStyle w:val="68"/>
          <w:rFonts w:hint="eastAsia"/>
          <w:color w:val="auto"/>
          <w:highlight w:val="none"/>
        </w:rPr>
        <w:t xml:space="preserve"> </w:t>
      </w:r>
      <w:bookmarkEnd w:id="40"/>
      <w:bookmarkEnd w:id="41"/>
      <w:r>
        <w:rPr>
          <w:rFonts w:hint="eastAsia" w:ascii="宋体" w:hAnsi="宋体" w:cs="宋体"/>
          <w:color w:val="auto"/>
          <w:szCs w:val="21"/>
          <w:highlight w:val="none"/>
        </w:rPr>
        <w:t>符合国家有关规定要求的电子会计资料按照本规范（不包括17</w:t>
      </w:r>
      <w:r>
        <w:rPr>
          <w:rFonts w:hint="eastAsia"/>
          <w:color w:val="auto"/>
          <w:highlight w:val="none"/>
        </w:rPr>
        <w:t>未实施电子会计档案管理系统单位的电子会计资料保存方法</w:t>
      </w:r>
      <w:r>
        <w:rPr>
          <w:rFonts w:hint="eastAsia" w:ascii="宋体" w:hAnsi="宋体" w:cs="宋体"/>
          <w:color w:val="auto"/>
          <w:szCs w:val="21"/>
          <w:highlight w:val="none"/>
        </w:rPr>
        <w:t>）归档的可仅以电子形式归档，不再归档相应纸质材料。</w:t>
      </w:r>
    </w:p>
    <w:p>
      <w:pPr>
        <w:pStyle w:val="66"/>
        <w:spacing w:before="312" w:after="312"/>
        <w:rPr>
          <w:color w:val="auto"/>
          <w:highlight w:val="none"/>
        </w:rPr>
      </w:pPr>
      <w:bookmarkStart w:id="42" w:name="_Toc887041593"/>
      <w:r>
        <w:rPr>
          <w:rFonts w:hint="eastAsia"/>
          <w:color w:val="auto"/>
          <w:highlight w:val="none"/>
        </w:rPr>
        <w:t>电子会计档案管理流程</w:t>
      </w:r>
      <w:bookmarkEnd w:id="42"/>
    </w:p>
    <w:p>
      <w:pPr>
        <w:ind w:firstLine="424" w:firstLineChars="202"/>
        <w:rPr>
          <w:color w:val="auto"/>
          <w:highlight w:val="none"/>
        </w:rPr>
      </w:pPr>
      <w:r>
        <w:rPr>
          <w:rFonts w:hint="eastAsia"/>
          <w:color w:val="auto"/>
          <w:szCs w:val="21"/>
          <w:highlight w:val="none"/>
        </w:rPr>
        <w:t>电子会计档案管理由会计人员、档案人员分工负责，涉及供应链管理系统、会计核算系统、电子会计档案管理系统等信息系统，管理过程包括电子会计资料的形成、收集、整理、移交归档和电子会计档案的接收、保管、统计、利用、鉴定、处置等，电子会计档案管理流程见图1。</w:t>
      </w:r>
      <w:bookmarkStart w:id="43" w:name="_Toc1272624188"/>
      <w:bookmarkStart w:id="44" w:name="_Toc417912100"/>
    </w:p>
    <w:p>
      <w:pPr>
        <w:rPr>
          <w:rFonts w:ascii="黑体" w:hAnsi="黑体" w:eastAsia="黑体"/>
          <w:color w:val="auto"/>
          <w:szCs w:val="21"/>
          <w:highlight w:val="none"/>
        </w:rPr>
      </w:pPr>
      <w:r>
        <w:rPr>
          <w:color w:val="auto"/>
          <w:highlight w:val="none"/>
        </w:rPr>
        <w:object>
          <v:shape id="_x0000_i1025" o:spt="75" type="#_x0000_t75" style="height:339.75pt;width:415pt;" o:ole="t" filled="f" o:preferrelative="t" stroked="f" coordsize="21600,21600">
            <v:path/>
            <v:fill on="f" focussize="0,0"/>
            <v:stroke on="f"/>
            <v:imagedata r:id="rId7" o:title=""/>
            <o:lock v:ext="edit" aspectratio="t"/>
            <w10:wrap type="none"/>
            <w10:anchorlock/>
          </v:shape>
          <o:OLEObject Type="Embed" ProgID="Visio.Drawing.15" ShapeID="_x0000_i1025" DrawAspect="Content" ObjectID="_1468075725" r:id="rId6">
            <o:LockedField>false</o:LockedField>
          </o:OLEObject>
        </w:object>
      </w:r>
    </w:p>
    <w:p>
      <w:pPr>
        <w:ind w:firstLine="373" w:firstLineChars="178"/>
        <w:jc w:val="center"/>
        <w:outlineLvl w:val="0"/>
        <w:rPr>
          <w:rFonts w:ascii="黑体" w:hAnsi="黑体" w:eastAsia="黑体"/>
          <w:color w:val="auto"/>
          <w:szCs w:val="21"/>
          <w:highlight w:val="none"/>
        </w:rPr>
      </w:pPr>
      <w:bookmarkStart w:id="45" w:name="_Toc66366987"/>
      <w:bookmarkStart w:id="46" w:name="_Toc1048405867"/>
      <w:r>
        <w:rPr>
          <w:rFonts w:hint="eastAsia" w:ascii="黑体" w:hAnsi="黑体" w:eastAsia="黑体"/>
          <w:color w:val="auto"/>
          <w:szCs w:val="21"/>
          <w:highlight w:val="none"/>
        </w:rPr>
        <w:t>图1 电子会计档案管理流程</w:t>
      </w:r>
      <w:bookmarkEnd w:id="43"/>
      <w:bookmarkEnd w:id="44"/>
      <w:bookmarkEnd w:id="45"/>
      <w:bookmarkEnd w:id="46"/>
    </w:p>
    <w:p>
      <w:pPr>
        <w:pStyle w:val="66"/>
        <w:spacing w:before="312" w:after="312"/>
        <w:rPr>
          <w:color w:val="auto"/>
          <w:highlight w:val="none"/>
        </w:rPr>
      </w:pPr>
      <w:bookmarkStart w:id="47" w:name="_Toc3218424"/>
      <w:r>
        <w:rPr>
          <w:rFonts w:hint="eastAsia"/>
          <w:color w:val="auto"/>
          <w:highlight w:val="none"/>
        </w:rPr>
        <w:t>归档电子会计资料的形成</w:t>
      </w:r>
      <w:bookmarkEnd w:id="47"/>
    </w:p>
    <w:p>
      <w:pPr>
        <w:rPr>
          <w:color w:val="auto"/>
          <w:szCs w:val="21"/>
          <w:highlight w:val="none"/>
        </w:rPr>
      </w:pPr>
      <w:bookmarkStart w:id="48" w:name="_Toc360503340"/>
      <w:r>
        <w:rPr>
          <w:rStyle w:val="68"/>
          <w:rFonts w:hint="eastAsia"/>
          <w:color w:val="auto"/>
          <w:highlight w:val="none"/>
        </w:rPr>
        <w:t>6.1</w:t>
      </w:r>
      <w:bookmarkEnd w:id="48"/>
      <w:r>
        <w:rPr>
          <w:rStyle w:val="68"/>
          <w:rFonts w:hint="eastAsia" w:eastAsia="黑体"/>
          <w:color w:val="auto"/>
          <w:highlight w:val="none"/>
          <w:lang w:val="en-US" w:eastAsia="zh-CN"/>
        </w:rPr>
        <w:t xml:space="preserve"> </w:t>
      </w:r>
      <w:r>
        <w:rPr>
          <w:rFonts w:hint="eastAsia"/>
          <w:color w:val="auto"/>
          <w:szCs w:val="21"/>
          <w:highlight w:val="none"/>
        </w:rPr>
        <w:t>内部形成的归档电子会计资料应当经过经办、审核、审批等必要的审签程序，内容及元数据齐全完整。元数据的结构和内容应当符合国家统一的会计标准规定。</w:t>
      </w:r>
    </w:p>
    <w:p>
      <w:pPr>
        <w:rPr>
          <w:color w:val="auto"/>
          <w:szCs w:val="21"/>
          <w:highlight w:val="none"/>
        </w:rPr>
      </w:pPr>
      <w:bookmarkStart w:id="49" w:name="_Toc1211581736"/>
      <w:r>
        <w:rPr>
          <w:rStyle w:val="68"/>
          <w:rFonts w:hint="eastAsia"/>
          <w:color w:val="auto"/>
          <w:highlight w:val="none"/>
        </w:rPr>
        <w:t>6.2</w:t>
      </w:r>
      <w:bookmarkEnd w:id="49"/>
      <w:r>
        <w:rPr>
          <w:rStyle w:val="68"/>
          <w:rFonts w:hint="eastAsia" w:eastAsia="黑体"/>
          <w:color w:val="auto"/>
          <w:highlight w:val="none"/>
          <w:lang w:val="en-US" w:eastAsia="zh-CN"/>
        </w:rPr>
        <w:t xml:space="preserve"> </w:t>
      </w:r>
      <w:r>
        <w:rPr>
          <w:rFonts w:hint="eastAsia"/>
          <w:color w:val="auto"/>
          <w:szCs w:val="21"/>
          <w:highlight w:val="none"/>
        </w:rPr>
        <w:t>电子会计资料应当形成相应格式的独立文件进行归档，各类电子会计资料形成独立文件时的数据项及展示样式见附录</w:t>
      </w:r>
      <w:r>
        <w:rPr>
          <w:rFonts w:hint="eastAsia"/>
          <w:color w:val="auto"/>
          <w:szCs w:val="21"/>
          <w:highlight w:val="none"/>
          <w:lang w:val="en-US" w:eastAsia="zh-CN"/>
        </w:rPr>
        <w:t>A</w:t>
      </w:r>
      <w:r>
        <w:rPr>
          <w:rFonts w:hint="eastAsia"/>
          <w:color w:val="auto"/>
          <w:szCs w:val="21"/>
          <w:highlight w:val="none"/>
        </w:rPr>
        <w:t>。</w:t>
      </w:r>
    </w:p>
    <w:p>
      <w:pPr>
        <w:rPr>
          <w:color w:val="auto"/>
          <w:szCs w:val="21"/>
          <w:highlight w:val="none"/>
        </w:rPr>
      </w:pPr>
      <w:bookmarkStart w:id="50" w:name="_Toc1410347775"/>
      <w:r>
        <w:rPr>
          <w:rStyle w:val="68"/>
          <w:rFonts w:hint="eastAsia"/>
          <w:color w:val="auto"/>
          <w:highlight w:val="none"/>
        </w:rPr>
        <w:t xml:space="preserve">6.3 </w:t>
      </w:r>
      <w:bookmarkEnd w:id="50"/>
      <w:bookmarkStart w:id="51" w:name="_Toc238921594"/>
      <w:r>
        <w:rPr>
          <w:rFonts w:hint="eastAsia"/>
          <w:color w:val="auto"/>
          <w:szCs w:val="21"/>
          <w:highlight w:val="none"/>
        </w:rPr>
        <w:t>内部形成的电子会计资料应当按照一定的时间和单元输出归档电子会计资料，一般一件电子会计资料以不大于50M为宜。</w:t>
      </w:r>
    </w:p>
    <w:p>
      <w:pPr>
        <w:ind w:firstLine="373" w:firstLineChars="178"/>
        <w:rPr>
          <w:color w:val="auto"/>
          <w:szCs w:val="21"/>
          <w:highlight w:val="none"/>
        </w:rPr>
      </w:pPr>
      <w:r>
        <w:rPr>
          <w:rFonts w:hint="eastAsia"/>
          <w:color w:val="auto"/>
          <w:szCs w:val="21"/>
          <w:highlight w:val="none"/>
        </w:rPr>
        <w:t>内部形成的电子会计凭证一旦办理完毕即可输出成归档电子会计凭证，输出时应当按照凭证号分类型输出，并在输出信息中体现相关联电子会计凭证间的关联关系。从外部收到的电子会计凭证一般以原格式归档。</w:t>
      </w:r>
    </w:p>
    <w:p>
      <w:pPr>
        <w:ind w:firstLine="373" w:firstLineChars="178"/>
        <w:rPr>
          <w:color w:val="auto"/>
          <w:szCs w:val="21"/>
          <w:highlight w:val="none"/>
        </w:rPr>
      </w:pPr>
      <w:r>
        <w:rPr>
          <w:rFonts w:hint="eastAsia"/>
          <w:color w:val="auto"/>
          <w:szCs w:val="21"/>
          <w:highlight w:val="none"/>
        </w:rPr>
        <w:t>电子会计账簿可按月、季、年等周期定期输出归档电子会计账簿，</w:t>
      </w:r>
      <w:r>
        <w:rPr>
          <w:rFonts w:hint="eastAsia"/>
          <w:color w:val="auto"/>
          <w:szCs w:val="21"/>
          <w:highlight w:val="none"/>
          <w:lang w:eastAsia="zh-CN"/>
        </w:rPr>
        <w:t>具体输出周期</w:t>
      </w:r>
      <w:r>
        <w:rPr>
          <w:rFonts w:hint="eastAsia"/>
          <w:color w:val="auto"/>
          <w:szCs w:val="21"/>
          <w:highlight w:val="none"/>
        </w:rPr>
        <w:t>可根据数据量的大小而定。</w:t>
      </w:r>
    </w:p>
    <w:p>
      <w:pPr>
        <w:ind w:firstLine="373" w:firstLineChars="178"/>
        <w:rPr>
          <w:color w:val="auto"/>
          <w:szCs w:val="21"/>
          <w:highlight w:val="none"/>
        </w:rPr>
      </w:pPr>
      <w:r>
        <w:rPr>
          <w:rFonts w:hint="eastAsia"/>
          <w:color w:val="auto"/>
          <w:szCs w:val="21"/>
          <w:highlight w:val="none"/>
        </w:rPr>
        <w:t>电子财务会计报告可按会计期间输出归档电子财务会计报告。</w:t>
      </w:r>
    </w:p>
    <w:p>
      <w:pPr>
        <w:rPr>
          <w:color w:val="auto"/>
          <w:szCs w:val="21"/>
          <w:highlight w:val="none"/>
        </w:rPr>
      </w:pPr>
      <w:r>
        <w:rPr>
          <w:rStyle w:val="68"/>
          <w:rFonts w:hint="eastAsia"/>
          <w:color w:val="auto"/>
          <w:highlight w:val="none"/>
        </w:rPr>
        <w:t xml:space="preserve">6.4 </w:t>
      </w:r>
      <w:r>
        <w:rPr>
          <w:rFonts w:hint="eastAsia"/>
          <w:color w:val="auto"/>
          <w:szCs w:val="21"/>
          <w:highlight w:val="none"/>
        </w:rPr>
        <w:t>电子会计资料归档推荐使用OFD文件，不具备应用OFD文件条件的单位可使用PDF文件或其他符合长期保存要求的版式文件。各单位也可根据需求在归档版式文件时再归档保存一份便于会计数据统计利用的文件格式，如</w:t>
      </w:r>
      <w:r>
        <w:rPr>
          <w:color w:val="auto"/>
          <w:szCs w:val="21"/>
          <w:highlight w:val="none"/>
        </w:rPr>
        <w:t>X</w:t>
      </w:r>
      <w:r>
        <w:rPr>
          <w:rFonts w:hint="eastAsia"/>
          <w:color w:val="auto"/>
          <w:szCs w:val="21"/>
          <w:highlight w:val="none"/>
        </w:rPr>
        <w:t>BR</w:t>
      </w:r>
      <w:r>
        <w:rPr>
          <w:color w:val="auto"/>
          <w:szCs w:val="21"/>
          <w:highlight w:val="none"/>
        </w:rPr>
        <w:t>L</w:t>
      </w:r>
      <w:r>
        <w:rPr>
          <w:rFonts w:hint="eastAsia"/>
          <w:color w:val="auto"/>
          <w:szCs w:val="21"/>
          <w:highlight w:val="none"/>
        </w:rPr>
        <w:t>文件。</w:t>
      </w:r>
      <w:bookmarkEnd w:id="51"/>
    </w:p>
    <w:p>
      <w:pPr>
        <w:pStyle w:val="66"/>
        <w:spacing w:before="312" w:after="312"/>
        <w:rPr>
          <w:color w:val="auto"/>
          <w:highlight w:val="none"/>
        </w:rPr>
      </w:pPr>
      <w:bookmarkStart w:id="52" w:name="_Toc38349907"/>
      <w:bookmarkStart w:id="53" w:name="_Toc712537422"/>
      <w:bookmarkStart w:id="54" w:name="_Toc38349911"/>
      <w:r>
        <w:rPr>
          <w:rFonts w:hint="eastAsia"/>
          <w:color w:val="auto"/>
          <w:highlight w:val="none"/>
        </w:rPr>
        <w:t>归档电子会计资料的收集</w:t>
      </w:r>
      <w:bookmarkEnd w:id="52"/>
      <w:bookmarkEnd w:id="53"/>
    </w:p>
    <w:p>
      <w:pPr>
        <w:outlineLvl w:val="0"/>
        <w:rPr>
          <w:color w:val="auto"/>
          <w:szCs w:val="21"/>
          <w:highlight w:val="none"/>
        </w:rPr>
      </w:pPr>
      <w:bookmarkStart w:id="55" w:name="_Toc38349909"/>
      <w:bookmarkStart w:id="56" w:name="_Toc2095187188"/>
      <w:bookmarkStart w:id="57" w:name="_Toc66366991"/>
      <w:bookmarkStart w:id="58" w:name="_Toc1178927077"/>
      <w:bookmarkStart w:id="59" w:name="_Toc1355937134"/>
      <w:r>
        <w:rPr>
          <w:rStyle w:val="68"/>
          <w:rFonts w:hint="eastAsia"/>
          <w:color w:val="auto"/>
          <w:highlight w:val="none"/>
        </w:rPr>
        <w:t>7.</w:t>
      </w:r>
      <w:r>
        <w:rPr>
          <w:rStyle w:val="68"/>
          <w:rFonts w:hint="eastAsia" w:eastAsia="黑体"/>
          <w:color w:val="auto"/>
          <w:highlight w:val="none"/>
          <w:lang w:val="en-US" w:eastAsia="zh-CN"/>
        </w:rPr>
        <w:t>1</w:t>
      </w:r>
      <w:r>
        <w:rPr>
          <w:rFonts w:hint="eastAsia"/>
          <w:color w:val="auto"/>
          <w:szCs w:val="21"/>
          <w:highlight w:val="none"/>
        </w:rPr>
        <w:t>电子会计资料归档范围</w:t>
      </w:r>
      <w:r>
        <w:rPr>
          <w:rFonts w:hint="eastAsia"/>
          <w:color w:val="auto"/>
          <w:szCs w:val="21"/>
          <w:highlight w:val="none"/>
          <w:lang w:eastAsia="zh-CN"/>
        </w:rPr>
        <w:t>参</w:t>
      </w:r>
      <w:r>
        <w:rPr>
          <w:rFonts w:hint="eastAsia"/>
          <w:color w:val="auto"/>
          <w:szCs w:val="21"/>
          <w:highlight w:val="none"/>
        </w:rPr>
        <w:t>见附录</w:t>
      </w:r>
      <w:r>
        <w:rPr>
          <w:rFonts w:hint="eastAsia"/>
          <w:color w:val="auto"/>
          <w:szCs w:val="21"/>
          <w:highlight w:val="none"/>
          <w:lang w:val="en-US" w:eastAsia="zh-CN"/>
        </w:rPr>
        <w:t>B，</w:t>
      </w:r>
      <w:r>
        <w:rPr>
          <w:rFonts w:ascii="Times New Roman"/>
          <w:color w:val="auto"/>
          <w:highlight w:val="none"/>
        </w:rPr>
        <w:t>各</w:t>
      </w:r>
      <w:r>
        <w:rPr>
          <w:rFonts w:hint="eastAsia"/>
          <w:color w:val="auto"/>
          <w:highlight w:val="none"/>
          <w:lang w:eastAsia="zh-CN"/>
        </w:rPr>
        <w:t>单位</w:t>
      </w:r>
      <w:r>
        <w:rPr>
          <w:rFonts w:ascii="Times New Roman"/>
          <w:color w:val="auto"/>
          <w:highlight w:val="none"/>
        </w:rPr>
        <w:t>可参考但不限于附录</w:t>
      </w:r>
      <w:r>
        <w:rPr>
          <w:rFonts w:hint="eastAsia"/>
          <w:color w:val="auto"/>
          <w:highlight w:val="none"/>
          <w:lang w:val="en-US" w:eastAsia="zh-CN"/>
        </w:rPr>
        <w:t>B</w:t>
      </w:r>
      <w:r>
        <w:rPr>
          <w:rFonts w:ascii="Times New Roman"/>
          <w:color w:val="auto"/>
          <w:highlight w:val="none"/>
        </w:rPr>
        <w:t>确定本单位</w:t>
      </w:r>
      <w:r>
        <w:rPr>
          <w:rFonts w:hint="eastAsia"/>
          <w:color w:val="auto"/>
          <w:highlight w:val="none"/>
          <w:lang w:eastAsia="zh-CN"/>
        </w:rPr>
        <w:t>电子会计资料</w:t>
      </w:r>
      <w:r>
        <w:rPr>
          <w:rFonts w:ascii="Times New Roman"/>
          <w:color w:val="auto"/>
          <w:highlight w:val="none"/>
        </w:rPr>
        <w:t>归档范围</w:t>
      </w:r>
      <w:r>
        <w:rPr>
          <w:rFonts w:hint="eastAsia"/>
          <w:color w:val="auto"/>
          <w:szCs w:val="21"/>
          <w:highlight w:val="none"/>
        </w:rPr>
        <w:t>。</w:t>
      </w:r>
      <w:bookmarkEnd w:id="55"/>
      <w:bookmarkEnd w:id="56"/>
      <w:bookmarkEnd w:id="57"/>
      <w:bookmarkEnd w:id="58"/>
      <w:bookmarkEnd w:id="59"/>
    </w:p>
    <w:p>
      <w:pPr>
        <w:outlineLvl w:val="0"/>
        <w:rPr>
          <w:color w:val="auto"/>
          <w:szCs w:val="21"/>
          <w:highlight w:val="none"/>
        </w:rPr>
      </w:pPr>
      <w:bookmarkStart w:id="60" w:name="_Toc66366990"/>
      <w:bookmarkStart w:id="61" w:name="_Toc482128836"/>
      <w:bookmarkStart w:id="62" w:name="_Toc38349908"/>
      <w:bookmarkStart w:id="63" w:name="_Toc492893351"/>
      <w:bookmarkStart w:id="64" w:name="_Toc235817293"/>
      <w:r>
        <w:rPr>
          <w:rStyle w:val="68"/>
          <w:rFonts w:hint="eastAsia"/>
          <w:color w:val="auto"/>
          <w:highlight w:val="none"/>
        </w:rPr>
        <w:t>7.</w:t>
      </w:r>
      <w:r>
        <w:rPr>
          <w:rStyle w:val="68"/>
          <w:rFonts w:hint="eastAsia" w:eastAsia="黑体"/>
          <w:color w:val="auto"/>
          <w:highlight w:val="none"/>
          <w:lang w:val="en-US" w:eastAsia="zh-CN"/>
        </w:rPr>
        <w:t>2</w:t>
      </w:r>
      <w:r>
        <w:rPr>
          <w:rStyle w:val="68"/>
          <w:rFonts w:hint="eastAsia"/>
          <w:color w:val="auto"/>
          <w:highlight w:val="none"/>
        </w:rPr>
        <w:t xml:space="preserve"> </w:t>
      </w:r>
      <w:r>
        <w:rPr>
          <w:rFonts w:hint="eastAsia"/>
          <w:color w:val="auto"/>
          <w:szCs w:val="21"/>
          <w:highlight w:val="none"/>
        </w:rPr>
        <w:t>属于归档范围的电子会计资料及其元数据在整理前应当由会计核算系统传输至电子会计档案管理系统，传输过程应安全可控。</w:t>
      </w:r>
      <w:bookmarkEnd w:id="60"/>
      <w:bookmarkEnd w:id="61"/>
      <w:bookmarkEnd w:id="62"/>
      <w:bookmarkEnd w:id="63"/>
      <w:bookmarkEnd w:id="64"/>
      <w:r>
        <w:rPr>
          <w:rFonts w:hint="eastAsia"/>
          <w:color w:val="auto"/>
          <w:szCs w:val="21"/>
          <w:highlight w:val="none"/>
        </w:rPr>
        <w:t>电子会计档案元数据方案见附录</w:t>
      </w:r>
      <w:r>
        <w:rPr>
          <w:color w:val="auto"/>
          <w:szCs w:val="21"/>
          <w:highlight w:val="none"/>
        </w:rPr>
        <w:t>C</w:t>
      </w:r>
      <w:r>
        <w:rPr>
          <w:rFonts w:hint="eastAsia"/>
          <w:color w:val="auto"/>
          <w:szCs w:val="21"/>
          <w:highlight w:val="none"/>
        </w:rPr>
        <w:t>。</w:t>
      </w:r>
    </w:p>
    <w:p>
      <w:pPr>
        <w:outlineLvl w:val="0"/>
        <w:rPr>
          <w:color w:val="auto"/>
          <w:szCs w:val="21"/>
          <w:highlight w:val="none"/>
        </w:rPr>
      </w:pPr>
      <w:bookmarkStart w:id="65" w:name="_Toc66366993"/>
      <w:bookmarkStart w:id="66" w:name="_Toc2119126347"/>
      <w:bookmarkStart w:id="67" w:name="_Toc1852512390"/>
      <w:bookmarkStart w:id="68" w:name="_Toc2119313109"/>
      <w:r>
        <w:rPr>
          <w:rStyle w:val="68"/>
          <w:rFonts w:hint="eastAsia"/>
          <w:color w:val="auto"/>
          <w:highlight w:val="none"/>
        </w:rPr>
        <w:t>7.</w:t>
      </w:r>
      <w:r>
        <w:rPr>
          <w:rStyle w:val="68"/>
          <w:rFonts w:hint="eastAsia" w:eastAsia="黑体"/>
          <w:color w:val="auto"/>
          <w:highlight w:val="none"/>
          <w:lang w:val="en-US" w:eastAsia="zh-CN"/>
        </w:rPr>
        <w:t>3</w:t>
      </w:r>
      <w:r>
        <w:rPr>
          <w:rStyle w:val="68"/>
          <w:rFonts w:hint="eastAsia"/>
          <w:color w:val="auto"/>
          <w:highlight w:val="none"/>
        </w:rPr>
        <w:t xml:space="preserve"> </w:t>
      </w:r>
      <w:r>
        <w:rPr>
          <w:rFonts w:hint="eastAsia"/>
          <w:color w:val="auto"/>
          <w:szCs w:val="21"/>
          <w:highlight w:val="none"/>
        </w:rPr>
        <w:t>电子会计资料收集一般通过接口在线自动收集，接口方案见附录D。</w:t>
      </w:r>
      <w:bookmarkEnd w:id="54"/>
      <w:bookmarkEnd w:id="65"/>
      <w:bookmarkEnd w:id="66"/>
      <w:bookmarkEnd w:id="67"/>
      <w:bookmarkEnd w:id="68"/>
    </w:p>
    <w:p>
      <w:pPr>
        <w:rPr>
          <w:color w:val="auto"/>
          <w:szCs w:val="21"/>
          <w:highlight w:val="none"/>
        </w:rPr>
      </w:pPr>
      <w:bookmarkStart w:id="69" w:name="_Toc66366994"/>
      <w:bookmarkStart w:id="70" w:name="_Toc13236240"/>
      <w:bookmarkStart w:id="71" w:name="_Toc472976389"/>
      <w:r>
        <w:rPr>
          <w:rStyle w:val="68"/>
          <w:rFonts w:hint="eastAsia"/>
          <w:color w:val="auto"/>
          <w:highlight w:val="none"/>
        </w:rPr>
        <w:t>7.</w:t>
      </w:r>
      <w:bookmarkEnd w:id="69"/>
      <w:r>
        <w:rPr>
          <w:rStyle w:val="68"/>
          <w:rFonts w:hint="eastAsia" w:eastAsia="黑体"/>
          <w:color w:val="auto"/>
          <w:highlight w:val="none"/>
          <w:lang w:val="en-US" w:eastAsia="zh-CN"/>
        </w:rPr>
        <w:t>4</w:t>
      </w:r>
      <w:r>
        <w:rPr>
          <w:rStyle w:val="68"/>
          <w:rFonts w:hint="eastAsia"/>
          <w:color w:val="auto"/>
          <w:highlight w:val="none"/>
        </w:rPr>
        <w:t xml:space="preserve"> </w:t>
      </w:r>
      <w:bookmarkEnd w:id="70"/>
      <w:bookmarkEnd w:id="71"/>
      <w:r>
        <w:rPr>
          <w:rFonts w:hint="eastAsia"/>
          <w:color w:val="auto"/>
          <w:szCs w:val="21"/>
          <w:highlight w:val="none"/>
        </w:rPr>
        <w:t>电子会计资料归档收集时应当梳理电子会计资料的来源，归档电子会计资料与来源系统对照可参照表1。</w:t>
      </w:r>
    </w:p>
    <w:p>
      <w:pPr>
        <w:spacing w:beforeLines="100"/>
        <w:jc w:val="center"/>
        <w:outlineLvl w:val="0"/>
        <w:rPr>
          <w:rFonts w:ascii="黑体" w:hAnsi="黑体" w:eastAsia="黑体"/>
          <w:color w:val="auto"/>
          <w:szCs w:val="21"/>
          <w:highlight w:val="none"/>
        </w:rPr>
      </w:pPr>
      <w:bookmarkStart w:id="72" w:name="_Toc66366995"/>
      <w:bookmarkStart w:id="73" w:name="_Toc142770912"/>
      <w:bookmarkStart w:id="74" w:name="_Toc1886024137"/>
      <w:bookmarkStart w:id="75" w:name="_Toc1523720812"/>
      <w:r>
        <w:rPr>
          <w:rFonts w:hint="eastAsia" w:ascii="黑体" w:hAnsi="黑体" w:eastAsia="黑体"/>
          <w:color w:val="auto"/>
          <w:szCs w:val="21"/>
          <w:highlight w:val="none"/>
        </w:rPr>
        <w:t>表1 归档电子会计资料与来源系统对照表</w:t>
      </w:r>
      <w:bookmarkEnd w:id="72"/>
      <w:bookmarkEnd w:id="73"/>
      <w:bookmarkEnd w:id="74"/>
      <w:bookmarkEnd w:id="75"/>
    </w:p>
    <w:tbl>
      <w:tblPr>
        <w:tblStyle w:val="24"/>
        <w:tblW w:w="7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06"/>
        <w:gridCol w:w="2951"/>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50" w:type="dxa"/>
            <w:gridSpan w:val="3"/>
            <w:vAlign w:val="center"/>
          </w:tcPr>
          <w:p>
            <w:pPr>
              <w:pStyle w:val="36"/>
              <w:rPr>
                <w:rFonts w:ascii="黑体" w:hAnsi="黑体" w:eastAsia="黑体"/>
                <w:color w:val="auto"/>
                <w:szCs w:val="21"/>
                <w:highlight w:val="none"/>
              </w:rPr>
            </w:pPr>
            <w:r>
              <w:rPr>
                <w:rFonts w:hint="eastAsia" w:ascii="黑体" w:hAnsi="黑体" w:eastAsia="黑体"/>
                <w:color w:val="auto"/>
                <w:szCs w:val="21"/>
                <w:highlight w:val="none"/>
              </w:rPr>
              <w:t>归档电子会计资料</w:t>
            </w:r>
          </w:p>
        </w:tc>
        <w:tc>
          <w:tcPr>
            <w:tcW w:w="2061" w:type="dxa"/>
            <w:shd w:val="clear" w:color="auto" w:fill="auto"/>
            <w:tcMar>
              <w:top w:w="10" w:type="dxa"/>
              <w:left w:w="108" w:type="dxa"/>
              <w:bottom w:w="0" w:type="dxa"/>
              <w:right w:w="108" w:type="dxa"/>
            </w:tcMar>
            <w:vAlign w:val="center"/>
          </w:tcPr>
          <w:p>
            <w:pPr>
              <w:pStyle w:val="36"/>
              <w:rPr>
                <w:rFonts w:ascii="黑体" w:hAnsi="黑体" w:eastAsia="黑体"/>
                <w:color w:val="auto"/>
                <w:szCs w:val="21"/>
                <w:highlight w:val="none"/>
              </w:rPr>
            </w:pPr>
            <w:r>
              <w:rPr>
                <w:rFonts w:hint="eastAsia" w:ascii="黑体" w:hAnsi="黑体" w:eastAsia="黑体"/>
                <w:color w:val="auto"/>
                <w:szCs w:val="21"/>
                <w:highlight w:val="none"/>
              </w:rPr>
              <w:t>来源系统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restart"/>
            <w:vAlign w:val="center"/>
          </w:tcPr>
          <w:p>
            <w:pPr>
              <w:pStyle w:val="36"/>
              <w:rPr>
                <w:color w:val="auto"/>
                <w:szCs w:val="21"/>
                <w:highlight w:val="none"/>
              </w:rPr>
            </w:pPr>
            <w:r>
              <w:rPr>
                <w:rFonts w:hint="eastAsia"/>
                <w:color w:val="auto"/>
                <w:szCs w:val="21"/>
                <w:highlight w:val="none"/>
              </w:rPr>
              <w:t>电子会计凭证类</w:t>
            </w:r>
          </w:p>
        </w:tc>
        <w:tc>
          <w:tcPr>
            <w:tcW w:w="1106" w:type="dxa"/>
            <w:vMerge w:val="restart"/>
            <w:vAlign w:val="center"/>
          </w:tcPr>
          <w:p>
            <w:pPr>
              <w:pStyle w:val="36"/>
              <w:rPr>
                <w:color w:val="auto"/>
                <w:szCs w:val="21"/>
                <w:highlight w:val="none"/>
              </w:rPr>
            </w:pPr>
            <w:r>
              <w:rPr>
                <w:rFonts w:hint="eastAsia"/>
                <w:color w:val="auto"/>
                <w:szCs w:val="21"/>
                <w:highlight w:val="none"/>
              </w:rPr>
              <w:t>原始凭证</w:t>
            </w: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销售订单</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ERP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出库单</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ERP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销售发票</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税务系统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采购订单</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ERP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入库单</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ERP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采购发票（专票）</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税务系统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报销单</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报销系统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银行回单-银企互联</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银企互联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银行回单-非银企互联</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网银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合同</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合同管理系统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报告</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OA系统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其他原始单据</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票据管理系统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93" w:type="dxa"/>
            <w:vMerge w:val="continue"/>
            <w:vAlign w:val="center"/>
          </w:tcPr>
          <w:p>
            <w:pPr>
              <w:pStyle w:val="36"/>
              <w:rPr>
                <w:color w:val="auto"/>
                <w:szCs w:val="21"/>
                <w:highlight w:val="none"/>
              </w:rPr>
            </w:pPr>
          </w:p>
        </w:tc>
        <w:tc>
          <w:tcPr>
            <w:tcW w:w="1106" w:type="dxa"/>
            <w:vAlign w:val="center"/>
          </w:tcPr>
          <w:p>
            <w:pPr>
              <w:pStyle w:val="36"/>
              <w:rPr>
                <w:color w:val="auto"/>
                <w:szCs w:val="21"/>
                <w:highlight w:val="none"/>
              </w:rPr>
            </w:pPr>
            <w:r>
              <w:rPr>
                <w:rFonts w:hint="eastAsia"/>
                <w:color w:val="auto"/>
                <w:szCs w:val="21"/>
                <w:highlight w:val="none"/>
              </w:rPr>
              <w:t>记账凭证</w:t>
            </w: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记账凭证</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 xml:space="preserve">会计核算系统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9" w:type="dxa"/>
            <w:gridSpan w:val="2"/>
            <w:vMerge w:val="restart"/>
            <w:vAlign w:val="center"/>
          </w:tcPr>
          <w:p>
            <w:pPr>
              <w:pStyle w:val="36"/>
              <w:rPr>
                <w:color w:val="auto"/>
                <w:szCs w:val="21"/>
                <w:highlight w:val="none"/>
              </w:rPr>
            </w:pPr>
            <w:r>
              <w:rPr>
                <w:rFonts w:hint="eastAsia"/>
                <w:color w:val="auto"/>
                <w:szCs w:val="21"/>
                <w:highlight w:val="none"/>
              </w:rPr>
              <w:t>电子会计账簿</w:t>
            </w: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总账、明细账、现金日记账、银行存款日记账等</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会计核算系统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9" w:type="dxa"/>
            <w:gridSpan w:val="2"/>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固定资产卡片</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会计核算系统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9" w:type="dxa"/>
            <w:gridSpan w:val="2"/>
            <w:vMerge w:val="continue"/>
            <w:shd w:val="clear" w:color="auto" w:fill="auto"/>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其他辅助性账簿</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会计核算系统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9" w:type="dxa"/>
            <w:gridSpan w:val="2"/>
            <w:vMerge w:val="restart"/>
            <w:vAlign w:val="center"/>
          </w:tcPr>
          <w:p>
            <w:pPr>
              <w:pStyle w:val="36"/>
              <w:rPr>
                <w:color w:val="auto"/>
                <w:szCs w:val="21"/>
                <w:highlight w:val="none"/>
              </w:rPr>
            </w:pPr>
            <w:r>
              <w:rPr>
                <w:rFonts w:hint="eastAsia"/>
                <w:color w:val="auto"/>
                <w:szCs w:val="21"/>
                <w:highlight w:val="none"/>
              </w:rPr>
              <w:t>电子财务会计报告</w:t>
            </w: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年报</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会计报表系统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9" w:type="dxa"/>
            <w:gridSpan w:val="2"/>
            <w:vMerge w:val="continue"/>
            <w:vAlign w:val="center"/>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月、季、半年报</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会计报表系统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9" w:type="dxa"/>
            <w:gridSpan w:val="2"/>
            <w:vMerge w:val="restart"/>
            <w:vAlign w:val="center"/>
          </w:tcPr>
          <w:p>
            <w:pPr>
              <w:pStyle w:val="36"/>
              <w:rPr>
                <w:color w:val="auto"/>
                <w:szCs w:val="21"/>
                <w:highlight w:val="none"/>
              </w:rPr>
            </w:pPr>
            <w:r>
              <w:rPr>
                <w:rFonts w:hint="eastAsia"/>
                <w:color w:val="auto"/>
                <w:szCs w:val="21"/>
                <w:highlight w:val="none"/>
              </w:rPr>
              <w:t>其他电子会计资料</w:t>
            </w: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银行存款余额调节表、银行对账单</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银企互联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9" w:type="dxa"/>
            <w:gridSpan w:val="2"/>
            <w:vMerge w:val="continue"/>
          </w:tcPr>
          <w:p>
            <w:pPr>
              <w:pStyle w:val="36"/>
              <w:rPr>
                <w:color w:val="auto"/>
                <w:szCs w:val="21"/>
                <w:highlight w:val="none"/>
              </w:rPr>
            </w:pPr>
          </w:p>
        </w:tc>
        <w:tc>
          <w:tcPr>
            <w:tcW w:w="295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纳税申报表</w:t>
            </w:r>
          </w:p>
        </w:tc>
        <w:tc>
          <w:tcPr>
            <w:tcW w:w="2061" w:type="dxa"/>
            <w:shd w:val="clear" w:color="auto" w:fill="auto"/>
            <w:tcMar>
              <w:top w:w="10" w:type="dxa"/>
              <w:left w:w="108" w:type="dxa"/>
              <w:bottom w:w="0" w:type="dxa"/>
              <w:right w:w="108" w:type="dxa"/>
            </w:tcMar>
            <w:vAlign w:val="center"/>
          </w:tcPr>
          <w:p>
            <w:pPr>
              <w:pStyle w:val="36"/>
              <w:rPr>
                <w:color w:val="auto"/>
                <w:szCs w:val="21"/>
                <w:highlight w:val="none"/>
              </w:rPr>
            </w:pPr>
            <w:r>
              <w:rPr>
                <w:rFonts w:hint="eastAsia"/>
                <w:color w:val="auto"/>
                <w:szCs w:val="21"/>
                <w:highlight w:val="none"/>
              </w:rPr>
              <w:t>税务系统</w:t>
            </w:r>
          </w:p>
        </w:tc>
      </w:tr>
    </w:tbl>
    <w:p>
      <w:pPr>
        <w:rPr>
          <w:rStyle w:val="68"/>
          <w:rFonts w:hint="eastAsia"/>
          <w:color w:val="auto"/>
          <w:highlight w:val="none"/>
        </w:rPr>
      </w:pPr>
      <w:bookmarkStart w:id="76" w:name="_Toc66366997"/>
      <w:bookmarkStart w:id="77" w:name="_Toc1960848138"/>
    </w:p>
    <w:bookmarkEnd w:id="76"/>
    <w:p>
      <w:pPr>
        <w:rPr>
          <w:rFonts w:ascii="宋体" w:hAnsi="宋体" w:cs="宋体"/>
          <w:color w:val="auto"/>
          <w:szCs w:val="21"/>
          <w:highlight w:val="none"/>
        </w:rPr>
      </w:pPr>
      <w:bookmarkStart w:id="78" w:name="_Toc1152955136"/>
      <w:r>
        <w:rPr>
          <w:rStyle w:val="68"/>
          <w:rFonts w:hint="eastAsia" w:eastAsia="黑体"/>
          <w:color w:val="auto"/>
          <w:highlight w:val="none"/>
          <w:lang w:val="en-US" w:eastAsia="zh-CN"/>
        </w:rPr>
        <w:t>7.</w:t>
      </w:r>
      <w:bookmarkEnd w:id="77"/>
      <w:bookmarkEnd w:id="78"/>
      <w:r>
        <w:rPr>
          <w:rStyle w:val="68"/>
          <w:rFonts w:hint="eastAsia" w:eastAsia="黑体"/>
          <w:color w:val="auto"/>
          <w:highlight w:val="none"/>
          <w:lang w:val="en-US" w:eastAsia="zh-CN"/>
        </w:rPr>
        <w:t xml:space="preserve">5 </w:t>
      </w:r>
      <w:r>
        <w:rPr>
          <w:rFonts w:hint="eastAsia"/>
          <w:color w:val="auto"/>
          <w:szCs w:val="21"/>
          <w:highlight w:val="none"/>
        </w:rPr>
        <w:t>收集进入电子会计档案管理系统的电子会计资料应当按照DA/T70有关要求进行真实性、完整性、可用性和安全性检测。</w:t>
      </w:r>
    </w:p>
    <w:p>
      <w:pPr>
        <w:rPr>
          <w:color w:val="auto"/>
          <w:szCs w:val="21"/>
          <w:highlight w:val="none"/>
        </w:rPr>
      </w:pPr>
      <w:bookmarkStart w:id="79" w:name="_Toc800115494"/>
      <w:bookmarkStart w:id="80" w:name="_Toc1825467257"/>
      <w:r>
        <w:rPr>
          <w:rStyle w:val="68"/>
          <w:rFonts w:hint="eastAsia" w:eastAsia="黑体"/>
          <w:color w:val="auto"/>
          <w:highlight w:val="none"/>
          <w:lang w:val="en-US" w:eastAsia="zh-CN"/>
        </w:rPr>
        <w:t>7.6</w:t>
      </w:r>
      <w:r>
        <w:rPr>
          <w:rStyle w:val="68"/>
          <w:rFonts w:hint="eastAsia"/>
          <w:color w:val="auto"/>
          <w:highlight w:val="none"/>
        </w:rPr>
        <w:t xml:space="preserve"> </w:t>
      </w:r>
      <w:bookmarkEnd w:id="79"/>
      <w:bookmarkEnd w:id="80"/>
      <w:r>
        <w:rPr>
          <w:rFonts w:hint="eastAsia"/>
          <w:color w:val="auto"/>
          <w:szCs w:val="21"/>
          <w:highlight w:val="none"/>
        </w:rPr>
        <w:t>经检测合格的电子会计资料根据附录</w:t>
      </w:r>
      <w:r>
        <w:rPr>
          <w:rFonts w:hint="eastAsia"/>
          <w:color w:val="auto"/>
          <w:szCs w:val="21"/>
          <w:highlight w:val="none"/>
          <w:lang w:val="en-US" w:eastAsia="zh-CN"/>
        </w:rPr>
        <w:t>B</w:t>
      </w:r>
      <w:r>
        <w:rPr>
          <w:rFonts w:hint="eastAsia"/>
          <w:color w:val="auto"/>
          <w:szCs w:val="21"/>
          <w:highlight w:val="none"/>
        </w:rPr>
        <w:t>划定保管期限。电子会计档案保管期限分为永久和定期，定期一般为30年和10年，电子会计档案的保管期限从会计年度终了后的第一天算起。附录</w:t>
      </w:r>
      <w:r>
        <w:rPr>
          <w:rFonts w:hint="eastAsia" w:cs="仿宋_GB2312"/>
          <w:color w:val="auto"/>
          <w:spacing w:val="-2"/>
          <w:szCs w:val="21"/>
          <w:highlight w:val="none"/>
          <w:lang w:val="en-US" w:eastAsia="zh-CN"/>
        </w:rPr>
        <w:t>B</w:t>
      </w:r>
      <w:r>
        <w:rPr>
          <w:rFonts w:hint="eastAsia"/>
          <w:color w:val="auto"/>
          <w:szCs w:val="21"/>
          <w:highlight w:val="none"/>
        </w:rPr>
        <w:t>中的电子会计档案保管期限为最低保管期限，各单位可根据工作需要选择更高的保管期限。</w:t>
      </w:r>
    </w:p>
    <w:p>
      <w:pPr>
        <w:rPr>
          <w:color w:val="auto"/>
          <w:szCs w:val="21"/>
          <w:highlight w:val="none"/>
        </w:rPr>
      </w:pPr>
      <w:bookmarkStart w:id="81" w:name="_Toc797824877"/>
      <w:bookmarkStart w:id="82" w:name="_Toc520445781"/>
      <w:r>
        <w:rPr>
          <w:rStyle w:val="68"/>
          <w:rFonts w:hint="eastAsia" w:eastAsia="黑体"/>
          <w:color w:val="auto"/>
          <w:highlight w:val="none"/>
          <w:lang w:val="en-US" w:eastAsia="zh-CN"/>
        </w:rPr>
        <w:t>7.7</w:t>
      </w:r>
      <w:r>
        <w:rPr>
          <w:rStyle w:val="68"/>
          <w:rFonts w:hint="eastAsia"/>
          <w:color w:val="auto"/>
          <w:highlight w:val="none"/>
        </w:rPr>
        <w:t xml:space="preserve"> </w:t>
      </w:r>
      <w:bookmarkEnd w:id="81"/>
      <w:bookmarkEnd w:id="82"/>
      <w:r>
        <w:rPr>
          <w:rFonts w:hint="eastAsia"/>
          <w:color w:val="auto"/>
          <w:szCs w:val="21"/>
          <w:highlight w:val="none"/>
        </w:rPr>
        <w:t>各</w:t>
      </w:r>
      <w:r>
        <w:rPr>
          <w:rFonts w:hint="eastAsia" w:cs="仿宋_GB2312"/>
          <w:color w:val="auto"/>
          <w:spacing w:val="-2"/>
          <w:szCs w:val="21"/>
          <w:highlight w:val="none"/>
        </w:rPr>
        <w:t>单位电子会计档案的具体名称如有同本附录</w:t>
      </w:r>
      <w:r>
        <w:rPr>
          <w:rFonts w:hint="eastAsia" w:cs="仿宋_GB2312"/>
          <w:color w:val="auto"/>
          <w:spacing w:val="-2"/>
          <w:szCs w:val="21"/>
          <w:highlight w:val="none"/>
          <w:lang w:val="en-US" w:eastAsia="zh-CN"/>
        </w:rPr>
        <w:t>B</w:t>
      </w:r>
      <w:r>
        <w:rPr>
          <w:rFonts w:hint="eastAsia" w:cs="仿宋_GB2312"/>
          <w:color w:val="auto"/>
          <w:spacing w:val="-2"/>
          <w:szCs w:val="21"/>
          <w:highlight w:val="none"/>
        </w:rPr>
        <w:t>所列名称不一致的，应当比照类似档案的保管期限办理。</w:t>
      </w:r>
    </w:p>
    <w:p>
      <w:pPr>
        <w:pStyle w:val="66"/>
        <w:spacing w:before="312" w:after="312"/>
        <w:rPr>
          <w:rFonts w:hint="eastAsia"/>
          <w:color w:val="auto"/>
          <w:highlight w:val="none"/>
          <w:lang w:val="en-US" w:eastAsia="zh-CN"/>
        </w:rPr>
      </w:pPr>
      <w:bookmarkStart w:id="83" w:name="_Toc2129452881"/>
      <w:r>
        <w:rPr>
          <w:rFonts w:hint="eastAsia"/>
          <w:color w:val="auto"/>
          <w:highlight w:val="none"/>
        </w:rPr>
        <w:t>归档电子会计资料的整理</w:t>
      </w:r>
      <w:bookmarkEnd w:id="83"/>
      <w:bookmarkStart w:id="84" w:name="_Toc948461525"/>
      <w:bookmarkStart w:id="85" w:name="_Toc66367001"/>
      <w:bookmarkStart w:id="86" w:name="_Toc188025413"/>
    </w:p>
    <w:p>
      <w:pPr>
        <w:pStyle w:val="64"/>
        <w:ind w:left="0" w:leftChars="0" w:firstLine="0" w:firstLineChars="0"/>
        <w:rPr>
          <w:rFonts w:hint="eastAsia" w:eastAsia="宋体"/>
          <w:color w:val="auto"/>
          <w:highlight w:val="none"/>
          <w:lang w:val="en-US" w:eastAsia="zh-CN"/>
        </w:rPr>
      </w:pPr>
      <w:r>
        <w:rPr>
          <w:rFonts w:hint="eastAsia" w:ascii="黑体" w:hAnsi="Times New Roman" w:eastAsia="黑体" w:cs="Times New Roman"/>
          <w:color w:val="auto"/>
          <w:kern w:val="0"/>
          <w:sz w:val="21"/>
          <w:highlight w:val="none"/>
          <w:lang w:val="en-US" w:eastAsia="zh-CN" w:bidi="ar-SA"/>
        </w:rPr>
        <w:t xml:space="preserve">8.1 </w:t>
      </w:r>
      <w:r>
        <w:rPr>
          <w:rFonts w:hint="eastAsia"/>
          <w:color w:val="auto"/>
          <w:highlight w:val="none"/>
          <w:lang w:val="en-US" w:eastAsia="zh-CN"/>
        </w:rPr>
        <w:t>电子会计资料收集完成后应及时整理，其中，电子会计凭证、电子会计账簿、电子固定资产卡片、</w:t>
      </w:r>
      <w:r>
        <w:rPr>
          <w:rFonts w:hint="eastAsia"/>
          <w:color w:val="auto"/>
          <w:szCs w:val="21"/>
          <w:highlight w:val="none"/>
        </w:rPr>
        <w:t>电子财务会计报告</w:t>
      </w:r>
      <w:r>
        <w:rPr>
          <w:rFonts w:hint="eastAsia"/>
          <w:color w:val="auto"/>
          <w:szCs w:val="21"/>
          <w:highlight w:val="none"/>
          <w:lang w:eastAsia="zh-CN"/>
        </w:rPr>
        <w:t>及其他电子会计资料</w:t>
      </w:r>
      <w:r>
        <w:rPr>
          <w:rFonts w:hint="eastAsia"/>
          <w:color w:val="auto"/>
          <w:highlight w:val="none"/>
          <w:lang w:val="en-US" w:eastAsia="zh-CN"/>
        </w:rPr>
        <w:t>应分别在会计年度结束后1个月内、会计决算后1个月内、固定资产报废后1年内、</w:t>
      </w:r>
      <w:r>
        <w:rPr>
          <w:rFonts w:hint="eastAsia"/>
          <w:color w:val="auto"/>
          <w:szCs w:val="21"/>
          <w:highlight w:val="none"/>
        </w:rPr>
        <w:t>电子财务会计报告</w:t>
      </w:r>
      <w:r>
        <w:rPr>
          <w:color w:val="auto"/>
          <w:szCs w:val="21"/>
          <w:highlight w:val="none"/>
        </w:rPr>
        <w:t>生成后1个月内</w:t>
      </w:r>
      <w:r>
        <w:rPr>
          <w:rFonts w:hint="eastAsia"/>
          <w:color w:val="auto"/>
          <w:szCs w:val="21"/>
          <w:highlight w:val="none"/>
          <w:lang w:eastAsia="zh-CN"/>
        </w:rPr>
        <w:t>、会计年度结束后3个月内</w:t>
      </w:r>
      <w:r>
        <w:rPr>
          <w:rFonts w:hint="eastAsia"/>
          <w:color w:val="auto"/>
          <w:highlight w:val="none"/>
          <w:lang w:val="en-US" w:eastAsia="zh-CN"/>
        </w:rPr>
        <w:t>完成整理</w:t>
      </w:r>
      <w:r>
        <w:rPr>
          <w:rFonts w:hint="eastAsia"/>
          <w:color w:val="auto"/>
          <w:szCs w:val="21"/>
          <w:highlight w:val="none"/>
          <w:lang w:eastAsia="zh-CN"/>
        </w:rPr>
        <w:t>。</w:t>
      </w:r>
    </w:p>
    <w:bookmarkEnd w:id="84"/>
    <w:bookmarkEnd w:id="85"/>
    <w:bookmarkEnd w:id="86"/>
    <w:p>
      <w:pPr>
        <w:pStyle w:val="69"/>
        <w:keepNext w:val="0"/>
        <w:keepLines w:val="0"/>
        <w:pageBreakBefore w:val="0"/>
        <w:widowControl/>
        <w:numPr>
          <w:ilvl w:val="2"/>
          <w:numId w:val="0"/>
        </w:numPr>
        <w:kinsoku/>
        <w:wordWrap/>
        <w:overflowPunct/>
        <w:topLinePunct w:val="0"/>
        <w:autoSpaceDE/>
        <w:autoSpaceDN/>
        <w:bidi w:val="0"/>
        <w:adjustRightInd/>
        <w:snapToGrid/>
        <w:spacing w:beforeLines="0" w:afterLines="0"/>
        <w:textAlignment w:val="auto"/>
        <w:rPr>
          <w:rFonts w:hint="eastAsia" w:ascii="Times New Roman" w:hAnsi="Times New Roman" w:eastAsia="宋体" w:cs="仿宋_GB2312"/>
          <w:color w:val="auto"/>
          <w:spacing w:val="-2"/>
          <w:kern w:val="2"/>
          <w:sz w:val="21"/>
          <w:szCs w:val="21"/>
          <w:highlight w:val="none"/>
          <w:lang w:val="en-US" w:eastAsia="zh-CN" w:bidi="ar-SA"/>
        </w:rPr>
      </w:pPr>
      <w:r>
        <w:rPr>
          <w:rFonts w:hint="eastAsia"/>
          <w:color w:val="auto"/>
          <w:highlight w:val="none"/>
          <w:lang w:val="en-US" w:eastAsia="zh-CN"/>
        </w:rPr>
        <w:t xml:space="preserve">8.2 </w:t>
      </w:r>
      <w:r>
        <w:rPr>
          <w:rFonts w:hint="eastAsia" w:ascii="Times New Roman" w:hAnsi="Times New Roman" w:eastAsia="宋体" w:cs="仿宋_GB2312"/>
          <w:color w:val="auto"/>
          <w:spacing w:val="-2"/>
          <w:kern w:val="2"/>
          <w:sz w:val="21"/>
          <w:szCs w:val="21"/>
          <w:highlight w:val="none"/>
          <w:lang w:val="en-US" w:eastAsia="zh-CN" w:bidi="ar-SA"/>
        </w:rPr>
        <w:t>整理电子会计资料必须按照其自然形成规律和电子会计档案本身固有的特点，保持电子会计资料之间的有机联系，区别不同的保管价值，便于保管和利用。</w:t>
      </w:r>
    </w:p>
    <w:p>
      <w:pPr>
        <w:pStyle w:val="69"/>
        <w:numPr>
          <w:ilvl w:val="2"/>
          <w:numId w:val="0"/>
        </w:numPr>
        <w:spacing w:before="156" w:after="156"/>
        <w:rPr>
          <w:color w:val="auto"/>
          <w:highlight w:val="none"/>
        </w:rPr>
      </w:pPr>
      <w:bookmarkStart w:id="87" w:name="_Toc314028770"/>
      <w:bookmarkStart w:id="88" w:name="_Toc1135246890"/>
      <w:bookmarkStart w:id="89" w:name="_Toc66367002"/>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3</w:t>
      </w:r>
      <w:r>
        <w:rPr>
          <w:rFonts w:hint="eastAsia"/>
          <w:color w:val="auto"/>
          <w:highlight w:val="none"/>
        </w:rPr>
        <w:t>分类</w:t>
      </w:r>
      <w:bookmarkEnd w:id="87"/>
      <w:bookmarkEnd w:id="88"/>
      <w:bookmarkEnd w:id="89"/>
    </w:p>
    <w:p>
      <w:pPr>
        <w:rPr>
          <w:color w:val="auto"/>
          <w:szCs w:val="21"/>
          <w:highlight w:val="none"/>
        </w:rPr>
      </w:pPr>
      <w:bookmarkStart w:id="90" w:name="_Toc66367003"/>
      <w:bookmarkStart w:id="91" w:name="_Toc2021626379"/>
      <w:bookmarkStart w:id="92" w:name="_Toc1456559372"/>
      <w:r>
        <w:rPr>
          <w:rStyle w:val="68"/>
          <w:rFonts w:hint="eastAsia" w:eastAsia="黑体"/>
          <w:color w:val="auto"/>
          <w:highlight w:val="none"/>
          <w:lang w:val="en-US" w:eastAsia="zh-CN"/>
        </w:rPr>
        <w:t>8</w:t>
      </w:r>
      <w:r>
        <w:rPr>
          <w:rStyle w:val="68"/>
          <w:rFonts w:hint="eastAsia"/>
          <w:color w:val="auto"/>
          <w:highlight w:val="none"/>
        </w:rPr>
        <w:t>.</w:t>
      </w:r>
      <w:r>
        <w:rPr>
          <w:rStyle w:val="68"/>
          <w:rFonts w:hint="eastAsia" w:eastAsia="黑体"/>
          <w:color w:val="auto"/>
          <w:highlight w:val="none"/>
          <w:lang w:val="en-US" w:eastAsia="zh-CN"/>
        </w:rPr>
        <w:t>3</w:t>
      </w:r>
      <w:r>
        <w:rPr>
          <w:rStyle w:val="68"/>
          <w:rFonts w:hint="eastAsia"/>
          <w:color w:val="auto"/>
          <w:highlight w:val="none"/>
        </w:rPr>
        <w:t>.1</w:t>
      </w:r>
      <w:bookmarkEnd w:id="90"/>
      <w:r>
        <w:rPr>
          <w:rStyle w:val="68"/>
          <w:rFonts w:hint="eastAsia"/>
          <w:color w:val="auto"/>
          <w:highlight w:val="none"/>
        </w:rPr>
        <w:t xml:space="preserve"> </w:t>
      </w:r>
      <w:bookmarkEnd w:id="91"/>
      <w:bookmarkEnd w:id="92"/>
      <w:r>
        <w:rPr>
          <w:rFonts w:hint="eastAsia"/>
          <w:color w:val="auto"/>
          <w:szCs w:val="21"/>
          <w:highlight w:val="none"/>
        </w:rPr>
        <w:t>电子会计资料整理时应当按照电子会计档案分类方案进行分类。电子会计档案分类方案参照9.2.3进行编制，分类方案应嵌入电子会计档案管理系统中。</w:t>
      </w:r>
    </w:p>
    <w:p>
      <w:pPr>
        <w:rPr>
          <w:color w:val="auto"/>
          <w:szCs w:val="21"/>
          <w:highlight w:val="none"/>
        </w:rPr>
      </w:pPr>
      <w:bookmarkStart w:id="93" w:name="_Toc66367004"/>
      <w:bookmarkStart w:id="94" w:name="_Toc209061068"/>
      <w:bookmarkStart w:id="95" w:name="_Toc1397002248"/>
      <w:r>
        <w:rPr>
          <w:rStyle w:val="68"/>
          <w:rFonts w:hint="eastAsia" w:eastAsia="黑体"/>
          <w:color w:val="auto"/>
          <w:highlight w:val="none"/>
          <w:lang w:val="en-US" w:eastAsia="zh-CN"/>
        </w:rPr>
        <w:t>8</w:t>
      </w:r>
      <w:r>
        <w:rPr>
          <w:rStyle w:val="68"/>
          <w:rFonts w:hint="eastAsia"/>
          <w:color w:val="auto"/>
          <w:highlight w:val="none"/>
        </w:rPr>
        <w:t>.</w:t>
      </w:r>
      <w:r>
        <w:rPr>
          <w:rStyle w:val="68"/>
          <w:rFonts w:hint="eastAsia" w:eastAsia="黑体"/>
          <w:color w:val="auto"/>
          <w:highlight w:val="none"/>
          <w:lang w:val="en-US" w:eastAsia="zh-CN"/>
        </w:rPr>
        <w:t>3</w:t>
      </w:r>
      <w:r>
        <w:rPr>
          <w:rStyle w:val="68"/>
          <w:rFonts w:hint="eastAsia"/>
          <w:color w:val="auto"/>
          <w:highlight w:val="none"/>
        </w:rPr>
        <w:t>.2</w:t>
      </w:r>
      <w:bookmarkEnd w:id="93"/>
      <w:r>
        <w:rPr>
          <w:rStyle w:val="68"/>
          <w:rFonts w:hint="eastAsia"/>
          <w:color w:val="auto"/>
          <w:highlight w:val="none"/>
        </w:rPr>
        <w:t xml:space="preserve"> </w:t>
      </w:r>
      <w:bookmarkEnd w:id="94"/>
      <w:bookmarkEnd w:id="95"/>
      <w:r>
        <w:rPr>
          <w:rFonts w:hint="eastAsia"/>
          <w:color w:val="auto"/>
          <w:szCs w:val="21"/>
          <w:highlight w:val="none"/>
        </w:rPr>
        <w:t>电子会计档案分类原则</w:t>
      </w:r>
    </w:p>
    <w:p>
      <w:pPr>
        <w:ind w:firstLine="373" w:firstLineChars="178"/>
        <w:rPr>
          <w:color w:val="auto"/>
          <w:szCs w:val="21"/>
          <w:highlight w:val="none"/>
        </w:rPr>
      </w:pPr>
      <w:r>
        <w:rPr>
          <w:rFonts w:hint="eastAsia"/>
          <w:color w:val="auto"/>
          <w:szCs w:val="21"/>
          <w:highlight w:val="none"/>
        </w:rPr>
        <w:t>a）按文件形式分类</w:t>
      </w:r>
    </w:p>
    <w:p>
      <w:pPr>
        <w:ind w:firstLine="373" w:firstLineChars="178"/>
        <w:rPr>
          <w:color w:val="auto"/>
          <w:szCs w:val="21"/>
          <w:highlight w:val="none"/>
        </w:rPr>
      </w:pPr>
      <w:r>
        <w:rPr>
          <w:rFonts w:hint="eastAsia"/>
          <w:color w:val="auto"/>
          <w:szCs w:val="21"/>
          <w:highlight w:val="none"/>
        </w:rPr>
        <w:t>即按会计文件形式分类，一般分为会计凭证、会计账簿、财务会计报告、其他会计资料4类。</w:t>
      </w:r>
    </w:p>
    <w:p>
      <w:pPr>
        <w:ind w:firstLine="373" w:firstLineChars="178"/>
        <w:rPr>
          <w:color w:val="auto"/>
          <w:szCs w:val="21"/>
          <w:highlight w:val="none"/>
        </w:rPr>
      </w:pPr>
      <w:r>
        <w:rPr>
          <w:rFonts w:hint="eastAsia"/>
          <w:color w:val="auto"/>
          <w:szCs w:val="21"/>
          <w:highlight w:val="none"/>
        </w:rPr>
        <w:t>b）按年度分类</w:t>
      </w:r>
    </w:p>
    <w:p>
      <w:pPr>
        <w:ind w:firstLine="373" w:firstLineChars="178"/>
        <w:rPr>
          <w:color w:val="auto"/>
          <w:szCs w:val="21"/>
          <w:highlight w:val="none"/>
        </w:rPr>
      </w:pPr>
      <w:r>
        <w:rPr>
          <w:rFonts w:hint="eastAsia"/>
          <w:color w:val="auto"/>
          <w:szCs w:val="21"/>
          <w:highlight w:val="none"/>
        </w:rPr>
        <w:t>即按会计档案针对的会计年度分类。</w:t>
      </w:r>
    </w:p>
    <w:p>
      <w:pPr>
        <w:ind w:firstLine="373" w:firstLineChars="178"/>
        <w:rPr>
          <w:color w:val="auto"/>
          <w:szCs w:val="21"/>
          <w:highlight w:val="none"/>
        </w:rPr>
      </w:pPr>
      <w:r>
        <w:rPr>
          <w:rFonts w:hint="eastAsia"/>
          <w:color w:val="auto"/>
          <w:szCs w:val="21"/>
          <w:highlight w:val="none"/>
        </w:rPr>
        <w:t>c）按保管期限分类</w:t>
      </w:r>
    </w:p>
    <w:p>
      <w:pPr>
        <w:ind w:firstLine="373" w:firstLineChars="178"/>
        <w:rPr>
          <w:color w:val="auto"/>
          <w:szCs w:val="21"/>
          <w:highlight w:val="none"/>
        </w:rPr>
      </w:pPr>
      <w:r>
        <w:rPr>
          <w:rFonts w:hint="eastAsia"/>
          <w:color w:val="auto"/>
          <w:szCs w:val="21"/>
          <w:highlight w:val="none"/>
        </w:rPr>
        <w:t>即按会计档案的保管期限分类，一般分为永久、30年和10年</w:t>
      </w:r>
      <w:r>
        <w:rPr>
          <w:color w:val="auto"/>
          <w:szCs w:val="21"/>
          <w:highlight w:val="none"/>
        </w:rPr>
        <w:t>3</w:t>
      </w:r>
      <w:r>
        <w:rPr>
          <w:rFonts w:hint="eastAsia"/>
          <w:color w:val="auto"/>
          <w:szCs w:val="21"/>
          <w:highlight w:val="none"/>
        </w:rPr>
        <w:t>类。</w:t>
      </w:r>
    </w:p>
    <w:p>
      <w:pPr>
        <w:ind w:firstLine="373" w:firstLineChars="178"/>
        <w:rPr>
          <w:color w:val="auto"/>
          <w:szCs w:val="21"/>
          <w:highlight w:val="none"/>
        </w:rPr>
      </w:pPr>
      <w:r>
        <w:rPr>
          <w:rFonts w:hint="eastAsia"/>
          <w:color w:val="auto"/>
          <w:szCs w:val="21"/>
          <w:highlight w:val="none"/>
        </w:rPr>
        <w:t>d）按组织机构分类</w:t>
      </w:r>
    </w:p>
    <w:p>
      <w:pPr>
        <w:ind w:firstLine="373" w:firstLineChars="178"/>
        <w:rPr>
          <w:color w:val="auto"/>
          <w:szCs w:val="21"/>
          <w:highlight w:val="none"/>
        </w:rPr>
      </w:pPr>
      <w:r>
        <w:rPr>
          <w:rFonts w:hint="eastAsia"/>
          <w:color w:val="auto"/>
          <w:szCs w:val="21"/>
          <w:highlight w:val="none"/>
        </w:rPr>
        <w:t>即按会计档案形成的组织机构分类。一般用于总预算会计单位的会计档案分类。</w:t>
      </w:r>
    </w:p>
    <w:p>
      <w:pPr>
        <w:ind w:firstLine="373" w:firstLineChars="178"/>
        <w:rPr>
          <w:color w:val="auto"/>
          <w:szCs w:val="21"/>
          <w:highlight w:val="none"/>
        </w:rPr>
      </w:pPr>
      <w:r>
        <w:rPr>
          <w:rFonts w:hint="eastAsia"/>
          <w:color w:val="auto"/>
          <w:szCs w:val="21"/>
          <w:highlight w:val="none"/>
        </w:rPr>
        <w:t>e）按会计类型分类</w:t>
      </w:r>
    </w:p>
    <w:p>
      <w:pPr>
        <w:ind w:firstLine="373" w:firstLineChars="178"/>
        <w:rPr>
          <w:color w:val="auto"/>
          <w:szCs w:val="21"/>
          <w:highlight w:val="none"/>
        </w:rPr>
      </w:pPr>
      <w:r>
        <w:rPr>
          <w:rFonts w:hint="eastAsia"/>
          <w:color w:val="auto"/>
          <w:szCs w:val="21"/>
          <w:highlight w:val="none"/>
        </w:rPr>
        <w:t>即按会计档案反映的会计类型分类。一般用于税务机关的会计档案分类。</w:t>
      </w:r>
    </w:p>
    <w:p>
      <w:pPr>
        <w:rPr>
          <w:color w:val="auto"/>
          <w:szCs w:val="21"/>
          <w:highlight w:val="none"/>
        </w:rPr>
      </w:pPr>
      <w:bookmarkStart w:id="96" w:name="_Toc66367005"/>
      <w:bookmarkStart w:id="97" w:name="_Toc1095847321"/>
      <w:bookmarkStart w:id="98" w:name="_Toc414183466"/>
      <w:r>
        <w:rPr>
          <w:rStyle w:val="68"/>
          <w:rFonts w:hint="eastAsia" w:eastAsia="黑体"/>
          <w:color w:val="auto"/>
          <w:highlight w:val="none"/>
          <w:lang w:val="en-US" w:eastAsia="zh-CN"/>
        </w:rPr>
        <w:t>8</w:t>
      </w:r>
      <w:r>
        <w:rPr>
          <w:rStyle w:val="68"/>
          <w:rFonts w:hint="eastAsia"/>
          <w:color w:val="auto"/>
          <w:highlight w:val="none"/>
        </w:rPr>
        <w:t>.</w:t>
      </w:r>
      <w:r>
        <w:rPr>
          <w:rStyle w:val="68"/>
          <w:rFonts w:hint="eastAsia" w:eastAsia="黑体"/>
          <w:color w:val="auto"/>
          <w:highlight w:val="none"/>
          <w:lang w:val="en-US" w:eastAsia="zh-CN"/>
        </w:rPr>
        <w:t>3</w:t>
      </w:r>
      <w:r>
        <w:rPr>
          <w:rStyle w:val="68"/>
          <w:rFonts w:hint="eastAsia"/>
          <w:color w:val="auto"/>
          <w:highlight w:val="none"/>
        </w:rPr>
        <w:t>.3</w:t>
      </w:r>
      <w:bookmarkEnd w:id="96"/>
      <w:r>
        <w:rPr>
          <w:rStyle w:val="68"/>
          <w:rFonts w:hint="eastAsia"/>
          <w:color w:val="auto"/>
          <w:highlight w:val="none"/>
        </w:rPr>
        <w:t xml:space="preserve"> </w:t>
      </w:r>
      <w:bookmarkEnd w:id="97"/>
      <w:bookmarkEnd w:id="98"/>
      <w:r>
        <w:rPr>
          <w:rFonts w:hint="eastAsia"/>
          <w:color w:val="auto"/>
          <w:szCs w:val="21"/>
          <w:highlight w:val="none"/>
        </w:rPr>
        <w:t>推荐采用的分类方法及适用性如下。</w:t>
      </w:r>
    </w:p>
    <w:p>
      <w:pPr>
        <w:ind w:firstLine="373" w:firstLineChars="178"/>
        <w:rPr>
          <w:rFonts w:ascii="宋体" w:hAnsi="宋体" w:cs="宋体"/>
          <w:color w:val="auto"/>
          <w:szCs w:val="21"/>
          <w:highlight w:val="none"/>
        </w:rPr>
      </w:pPr>
      <w:r>
        <w:rPr>
          <w:rFonts w:hint="eastAsia" w:ascii="宋体" w:hAnsi="宋体" w:cs="宋体"/>
          <w:color w:val="auto"/>
          <w:szCs w:val="21"/>
          <w:highlight w:val="none"/>
        </w:rPr>
        <w:t>a）会计文件形式—会计年度—保管期限分类法</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480"/>
              <w:rPr>
                <w:rFonts w:ascii="宋体" w:hAnsi="宋体" w:cs="宋体"/>
                <w:color w:val="auto"/>
                <w:szCs w:val="21"/>
                <w:highlight w:val="none"/>
              </w:rPr>
            </w:pPr>
            <w:r>
              <w:rPr>
                <w:rFonts w:hint="eastAsia" w:ascii="宋体" w:hAnsi="宋体" w:cs="宋体"/>
                <w:color w:val="auto"/>
                <w:szCs w:val="21"/>
                <w:highlight w:val="none"/>
              </w:rPr>
              <w:t>具体分类方法如下：</w:t>
            </w:r>
          </w:p>
          <w:p>
            <w:pPr>
              <w:ind w:firstLine="480"/>
              <w:rPr>
                <w:rFonts w:ascii="宋体" w:hAnsi="宋体" w:cs="宋体"/>
                <w:color w:val="auto"/>
                <w:szCs w:val="21"/>
                <w:highlight w:val="none"/>
              </w:rPr>
            </w:pPr>
            <w:r>
              <w:rPr>
                <w:rFonts w:hint="eastAsia" w:ascii="宋体" w:hAnsi="宋体" w:cs="宋体"/>
                <w:color w:val="auto"/>
                <w:szCs w:val="21"/>
                <w:highlight w:val="none"/>
              </w:rPr>
              <w:t>1会计凭证</w:t>
            </w:r>
          </w:p>
          <w:p>
            <w:pPr>
              <w:ind w:firstLine="851"/>
              <w:rPr>
                <w:rFonts w:ascii="宋体" w:hAnsi="宋体" w:cs="宋体"/>
                <w:color w:val="auto"/>
                <w:szCs w:val="21"/>
                <w:highlight w:val="none"/>
              </w:rPr>
            </w:pPr>
            <w:r>
              <w:rPr>
                <w:rFonts w:hint="eastAsia" w:ascii="宋体" w:hAnsi="宋体" w:cs="宋体"/>
                <w:color w:val="auto"/>
                <w:szCs w:val="21"/>
                <w:highlight w:val="none"/>
              </w:rPr>
              <w:t>2009年</w:t>
            </w:r>
          </w:p>
          <w:p>
            <w:pPr>
              <w:ind w:firstLine="1276"/>
              <w:rPr>
                <w:rFonts w:ascii="宋体" w:hAnsi="宋体" w:cs="宋体"/>
                <w:color w:val="auto"/>
                <w:szCs w:val="21"/>
                <w:highlight w:val="none"/>
              </w:rPr>
            </w:pPr>
            <w:r>
              <w:rPr>
                <w:rFonts w:hint="eastAsia" w:ascii="宋体" w:hAnsi="宋体" w:cs="宋体"/>
                <w:color w:val="auto"/>
                <w:szCs w:val="21"/>
                <w:highlight w:val="none"/>
              </w:rPr>
              <w:t>1．收款凭证(30年)</w:t>
            </w:r>
          </w:p>
          <w:p>
            <w:pPr>
              <w:ind w:firstLine="1276"/>
              <w:rPr>
                <w:rFonts w:ascii="宋体" w:hAnsi="宋体" w:cs="宋体"/>
                <w:color w:val="auto"/>
                <w:szCs w:val="21"/>
                <w:highlight w:val="none"/>
              </w:rPr>
            </w:pPr>
            <w:r>
              <w:rPr>
                <w:rFonts w:hint="eastAsia" w:ascii="宋体" w:hAnsi="宋体" w:cs="宋体"/>
                <w:color w:val="auto"/>
                <w:szCs w:val="21"/>
                <w:highlight w:val="none"/>
              </w:rPr>
              <w:t>2．付款凭证（30年）</w:t>
            </w:r>
          </w:p>
          <w:p>
            <w:pPr>
              <w:ind w:firstLine="1276"/>
              <w:rPr>
                <w:rFonts w:ascii="宋体" w:hAnsi="宋体" w:cs="宋体"/>
                <w:color w:val="auto"/>
                <w:szCs w:val="21"/>
                <w:highlight w:val="none"/>
              </w:rPr>
            </w:pPr>
            <w:r>
              <w:rPr>
                <w:rFonts w:hint="eastAsia" w:ascii="宋体" w:hAnsi="宋体" w:cs="宋体"/>
                <w:color w:val="auto"/>
                <w:szCs w:val="21"/>
                <w:highlight w:val="none"/>
              </w:rPr>
              <w:t>3．转账凭证(30年)</w:t>
            </w:r>
          </w:p>
          <w:p>
            <w:pPr>
              <w:ind w:firstLine="851"/>
              <w:rPr>
                <w:rFonts w:ascii="宋体" w:hAnsi="宋体" w:cs="宋体"/>
                <w:color w:val="auto"/>
                <w:szCs w:val="21"/>
                <w:highlight w:val="none"/>
              </w:rPr>
            </w:pPr>
            <w:r>
              <w:rPr>
                <w:rFonts w:hint="eastAsia" w:ascii="宋体" w:hAnsi="宋体" w:cs="宋体"/>
                <w:color w:val="auto"/>
                <w:szCs w:val="21"/>
                <w:highlight w:val="none"/>
              </w:rPr>
              <w:t xml:space="preserve"> 2010年</w:t>
            </w:r>
          </w:p>
          <w:p>
            <w:pPr>
              <w:ind w:firstLine="1276"/>
              <w:rPr>
                <w:rFonts w:ascii="宋体" w:hAnsi="宋体" w:cs="宋体"/>
                <w:color w:val="auto"/>
                <w:szCs w:val="21"/>
                <w:highlight w:val="none"/>
              </w:rPr>
            </w:pPr>
            <w:r>
              <w:rPr>
                <w:rFonts w:hint="eastAsia" w:ascii="宋体" w:hAnsi="宋体" w:cs="宋体"/>
                <w:color w:val="auto"/>
                <w:szCs w:val="21"/>
                <w:highlight w:val="none"/>
              </w:rPr>
              <w:t>1．收款凭证(30年)</w:t>
            </w:r>
          </w:p>
          <w:p>
            <w:pPr>
              <w:ind w:firstLine="1276"/>
              <w:rPr>
                <w:rFonts w:ascii="宋体" w:hAnsi="宋体" w:cs="宋体"/>
                <w:color w:val="auto"/>
                <w:szCs w:val="21"/>
                <w:highlight w:val="none"/>
              </w:rPr>
            </w:pPr>
            <w:r>
              <w:rPr>
                <w:rFonts w:hint="eastAsia" w:ascii="宋体" w:hAnsi="宋体" w:cs="宋体"/>
                <w:color w:val="auto"/>
                <w:szCs w:val="21"/>
                <w:highlight w:val="none"/>
              </w:rPr>
              <w:t>2．付款凭证(30年)</w:t>
            </w:r>
          </w:p>
          <w:p>
            <w:pPr>
              <w:ind w:firstLine="1276"/>
              <w:rPr>
                <w:rFonts w:ascii="宋体" w:hAnsi="宋体" w:cs="宋体"/>
                <w:color w:val="auto"/>
                <w:szCs w:val="21"/>
                <w:highlight w:val="none"/>
              </w:rPr>
            </w:pPr>
            <w:r>
              <w:rPr>
                <w:rFonts w:hint="eastAsia" w:ascii="宋体" w:hAnsi="宋体" w:cs="宋体"/>
                <w:color w:val="auto"/>
                <w:szCs w:val="21"/>
                <w:highlight w:val="none"/>
              </w:rPr>
              <w:t>3．转账凭证(30年)</w:t>
            </w:r>
          </w:p>
          <w:p>
            <w:pPr>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 2 会计账簿</w:t>
            </w:r>
          </w:p>
          <w:p>
            <w:pPr>
              <w:ind w:firstLine="851"/>
              <w:rPr>
                <w:rFonts w:ascii="宋体" w:hAnsi="宋体" w:cs="宋体"/>
                <w:color w:val="auto"/>
                <w:szCs w:val="21"/>
                <w:highlight w:val="none"/>
              </w:rPr>
            </w:pPr>
            <w:r>
              <w:rPr>
                <w:rFonts w:hint="eastAsia" w:ascii="宋体" w:hAnsi="宋体" w:cs="宋体"/>
                <w:color w:val="auto"/>
                <w:szCs w:val="21"/>
                <w:highlight w:val="none"/>
              </w:rPr>
              <w:t>2009年</w:t>
            </w:r>
          </w:p>
          <w:p>
            <w:pPr>
              <w:ind w:firstLine="1276"/>
              <w:rPr>
                <w:rFonts w:ascii="宋体" w:hAnsi="宋体" w:cs="宋体"/>
                <w:color w:val="auto"/>
                <w:szCs w:val="21"/>
                <w:highlight w:val="none"/>
              </w:rPr>
            </w:pPr>
            <w:r>
              <w:rPr>
                <w:rFonts w:hint="eastAsia" w:ascii="宋体" w:hAnsi="宋体" w:cs="宋体"/>
                <w:color w:val="auto"/>
                <w:szCs w:val="21"/>
                <w:highlight w:val="none"/>
              </w:rPr>
              <w:t>1．银行存款日记账(30年)</w:t>
            </w:r>
          </w:p>
          <w:p>
            <w:pPr>
              <w:ind w:firstLine="1276"/>
              <w:rPr>
                <w:rFonts w:ascii="宋体" w:hAnsi="宋体" w:cs="宋体"/>
                <w:color w:val="auto"/>
                <w:szCs w:val="21"/>
                <w:highlight w:val="none"/>
              </w:rPr>
            </w:pPr>
            <w:r>
              <w:rPr>
                <w:rFonts w:hint="eastAsia" w:ascii="宋体" w:hAnsi="宋体" w:cs="宋体"/>
                <w:color w:val="auto"/>
                <w:szCs w:val="21"/>
                <w:highlight w:val="none"/>
              </w:rPr>
              <w:t>2．现金日记账(30年)</w:t>
            </w:r>
          </w:p>
          <w:p>
            <w:pPr>
              <w:ind w:firstLine="1276"/>
              <w:rPr>
                <w:rFonts w:ascii="宋体" w:hAnsi="宋体" w:cs="宋体"/>
                <w:color w:val="auto"/>
                <w:szCs w:val="21"/>
                <w:highlight w:val="none"/>
              </w:rPr>
            </w:pPr>
            <w:r>
              <w:rPr>
                <w:rFonts w:hint="eastAsia" w:ascii="宋体" w:hAnsi="宋体" w:cs="宋体"/>
                <w:color w:val="auto"/>
                <w:szCs w:val="21"/>
                <w:highlight w:val="none"/>
              </w:rPr>
              <w:t>3．总    账（30年）</w:t>
            </w:r>
          </w:p>
          <w:p>
            <w:pPr>
              <w:ind w:firstLine="1276"/>
              <w:rPr>
                <w:rFonts w:ascii="宋体" w:hAnsi="宋体" w:cs="宋体"/>
                <w:color w:val="auto"/>
                <w:szCs w:val="21"/>
                <w:highlight w:val="none"/>
              </w:rPr>
            </w:pPr>
            <w:r>
              <w:rPr>
                <w:rFonts w:hint="eastAsia" w:ascii="宋体" w:hAnsi="宋体" w:cs="宋体"/>
                <w:color w:val="auto"/>
                <w:szCs w:val="21"/>
                <w:highlight w:val="none"/>
              </w:rPr>
              <w:t>4．明细分类账（30年）</w:t>
            </w:r>
          </w:p>
          <w:p>
            <w:pPr>
              <w:ind w:firstLine="1276"/>
              <w:rPr>
                <w:rFonts w:ascii="宋体" w:hAnsi="宋体" w:cs="宋体"/>
                <w:color w:val="auto"/>
                <w:szCs w:val="21"/>
                <w:highlight w:val="none"/>
              </w:rPr>
            </w:pPr>
            <w:r>
              <w:rPr>
                <w:rFonts w:hint="eastAsia" w:ascii="宋体" w:hAnsi="宋体" w:cs="宋体"/>
                <w:color w:val="auto"/>
                <w:szCs w:val="21"/>
                <w:highlight w:val="none"/>
              </w:rPr>
              <w:t>5．固定资产卡片（30年或固定资产报废后5年）</w:t>
            </w:r>
          </w:p>
          <w:p>
            <w:pPr>
              <w:ind w:firstLine="1276"/>
              <w:rPr>
                <w:rFonts w:ascii="宋体" w:hAnsi="宋体" w:cs="宋体"/>
                <w:color w:val="auto"/>
                <w:szCs w:val="21"/>
                <w:highlight w:val="none"/>
              </w:rPr>
            </w:pPr>
            <w:r>
              <w:rPr>
                <w:rFonts w:hint="eastAsia" w:ascii="宋体" w:hAnsi="宋体" w:cs="宋体"/>
                <w:color w:val="auto"/>
                <w:szCs w:val="21"/>
                <w:highlight w:val="none"/>
              </w:rPr>
              <w:t>6．其他辅助账簿(30年)</w:t>
            </w:r>
          </w:p>
          <w:p>
            <w:pPr>
              <w:ind w:firstLine="480"/>
              <w:rPr>
                <w:rFonts w:ascii="宋体" w:hAnsi="宋体" w:cs="宋体"/>
                <w:color w:val="auto"/>
                <w:szCs w:val="21"/>
                <w:highlight w:val="none"/>
              </w:rPr>
            </w:pPr>
            <w:r>
              <w:rPr>
                <w:rFonts w:hint="eastAsia" w:ascii="宋体" w:hAnsi="宋体" w:cs="宋体"/>
                <w:color w:val="auto"/>
                <w:szCs w:val="21"/>
                <w:highlight w:val="none"/>
              </w:rPr>
              <w:t xml:space="preserve">   2010年</w:t>
            </w:r>
          </w:p>
          <w:p>
            <w:pPr>
              <w:ind w:firstLine="1276"/>
              <w:rPr>
                <w:rFonts w:ascii="宋体" w:hAnsi="宋体" w:cs="宋体"/>
                <w:color w:val="auto"/>
                <w:szCs w:val="21"/>
                <w:highlight w:val="none"/>
              </w:rPr>
            </w:pPr>
            <w:r>
              <w:rPr>
                <w:rFonts w:hint="eastAsia" w:ascii="宋体" w:hAnsi="宋体" w:cs="宋体"/>
                <w:color w:val="auto"/>
                <w:szCs w:val="21"/>
                <w:highlight w:val="none"/>
              </w:rPr>
              <w:t>1．银行存款日记账（30年）</w:t>
            </w:r>
          </w:p>
          <w:p>
            <w:pPr>
              <w:ind w:firstLine="1276"/>
              <w:rPr>
                <w:rFonts w:ascii="宋体" w:hAnsi="宋体" w:cs="宋体"/>
                <w:color w:val="auto"/>
                <w:szCs w:val="21"/>
                <w:highlight w:val="none"/>
              </w:rPr>
            </w:pPr>
            <w:r>
              <w:rPr>
                <w:rFonts w:hint="eastAsia" w:ascii="宋体" w:hAnsi="宋体" w:cs="宋体"/>
                <w:color w:val="auto"/>
                <w:szCs w:val="21"/>
                <w:highlight w:val="none"/>
              </w:rPr>
              <w:t>2．现金日记账（30年）</w:t>
            </w:r>
          </w:p>
          <w:p>
            <w:pPr>
              <w:ind w:firstLine="1276"/>
              <w:rPr>
                <w:rFonts w:ascii="宋体" w:hAnsi="宋体" w:cs="宋体"/>
                <w:color w:val="auto"/>
                <w:szCs w:val="21"/>
                <w:highlight w:val="none"/>
              </w:rPr>
            </w:pPr>
            <w:r>
              <w:rPr>
                <w:rFonts w:hint="eastAsia" w:ascii="宋体" w:hAnsi="宋体" w:cs="宋体"/>
                <w:color w:val="auto"/>
                <w:szCs w:val="21"/>
                <w:highlight w:val="none"/>
              </w:rPr>
              <w:t>3．总    账（30年）</w:t>
            </w:r>
          </w:p>
          <w:p>
            <w:pPr>
              <w:ind w:firstLine="1276"/>
              <w:rPr>
                <w:rFonts w:ascii="宋体" w:hAnsi="宋体" w:cs="宋体"/>
                <w:color w:val="auto"/>
                <w:szCs w:val="21"/>
                <w:highlight w:val="none"/>
              </w:rPr>
            </w:pPr>
            <w:r>
              <w:rPr>
                <w:rFonts w:hint="eastAsia" w:ascii="宋体" w:hAnsi="宋体" w:cs="宋体"/>
                <w:color w:val="auto"/>
                <w:szCs w:val="21"/>
                <w:highlight w:val="none"/>
              </w:rPr>
              <w:t>4．明细分类账（30年）</w:t>
            </w:r>
          </w:p>
          <w:p>
            <w:pPr>
              <w:ind w:firstLine="1276"/>
              <w:rPr>
                <w:rFonts w:ascii="宋体" w:hAnsi="宋体" w:cs="宋体"/>
                <w:color w:val="auto"/>
                <w:szCs w:val="21"/>
                <w:highlight w:val="none"/>
              </w:rPr>
            </w:pPr>
            <w:r>
              <w:rPr>
                <w:rFonts w:hint="eastAsia" w:ascii="宋体" w:hAnsi="宋体" w:cs="宋体"/>
                <w:color w:val="auto"/>
                <w:szCs w:val="21"/>
                <w:highlight w:val="none"/>
              </w:rPr>
              <w:t>5．固定资产卡片（30年或固定资产报废后5年）</w:t>
            </w:r>
          </w:p>
          <w:p>
            <w:pPr>
              <w:ind w:firstLine="1276"/>
              <w:rPr>
                <w:rFonts w:ascii="宋体" w:hAnsi="宋体" w:cs="宋体"/>
                <w:color w:val="auto"/>
                <w:szCs w:val="21"/>
                <w:highlight w:val="none"/>
              </w:rPr>
            </w:pPr>
            <w:r>
              <w:rPr>
                <w:rFonts w:hint="eastAsia" w:ascii="宋体" w:hAnsi="宋体" w:cs="宋体"/>
                <w:color w:val="auto"/>
                <w:szCs w:val="21"/>
                <w:highlight w:val="none"/>
              </w:rPr>
              <w:t>6．其他辅助账簿（30年）</w:t>
            </w:r>
          </w:p>
          <w:p>
            <w:pPr>
              <w:ind w:firstLine="480"/>
              <w:rPr>
                <w:rFonts w:ascii="宋体" w:hAnsi="宋体" w:cs="宋体"/>
                <w:color w:val="auto"/>
                <w:szCs w:val="21"/>
                <w:highlight w:val="none"/>
              </w:rPr>
            </w:pPr>
            <w:r>
              <w:rPr>
                <w:rFonts w:hint="eastAsia" w:ascii="宋体" w:hAnsi="宋体" w:cs="宋体"/>
                <w:color w:val="auto"/>
                <w:szCs w:val="21"/>
                <w:highlight w:val="none"/>
              </w:rPr>
              <w:t>3财务会计报告</w:t>
            </w:r>
          </w:p>
          <w:p>
            <w:pPr>
              <w:ind w:firstLine="840" w:firstLineChars="400"/>
              <w:rPr>
                <w:rFonts w:ascii="宋体" w:hAnsi="宋体" w:cs="宋体"/>
                <w:color w:val="auto"/>
                <w:szCs w:val="21"/>
                <w:highlight w:val="none"/>
              </w:rPr>
            </w:pPr>
            <w:r>
              <w:rPr>
                <w:rFonts w:hint="eastAsia" w:ascii="宋体" w:hAnsi="宋体" w:cs="宋体"/>
                <w:color w:val="auto"/>
                <w:szCs w:val="21"/>
                <w:highlight w:val="none"/>
              </w:rPr>
              <w:t>2009年</w:t>
            </w:r>
          </w:p>
          <w:p>
            <w:pPr>
              <w:ind w:firstLine="1276"/>
              <w:rPr>
                <w:rFonts w:ascii="宋体" w:hAnsi="宋体" w:cs="宋体"/>
                <w:color w:val="auto"/>
                <w:szCs w:val="21"/>
                <w:highlight w:val="none"/>
              </w:rPr>
            </w:pPr>
            <w:r>
              <w:rPr>
                <w:rFonts w:hint="eastAsia" w:ascii="宋体" w:hAnsi="宋体" w:cs="宋体"/>
                <w:color w:val="auto"/>
                <w:szCs w:val="21"/>
                <w:highlight w:val="none"/>
              </w:rPr>
              <w:t>1．年度财务会计报告&lt;决算&gt;（永久）</w:t>
            </w:r>
          </w:p>
          <w:p>
            <w:pPr>
              <w:ind w:firstLine="1276"/>
              <w:rPr>
                <w:rFonts w:ascii="宋体" w:hAnsi="宋体" w:cs="宋体"/>
                <w:color w:val="auto"/>
                <w:szCs w:val="21"/>
                <w:highlight w:val="none"/>
              </w:rPr>
            </w:pPr>
            <w:r>
              <w:rPr>
                <w:rFonts w:hint="eastAsia" w:ascii="宋体" w:hAnsi="宋体" w:cs="宋体"/>
                <w:color w:val="auto"/>
                <w:szCs w:val="21"/>
                <w:highlight w:val="none"/>
              </w:rPr>
              <w:t>2．月、季度、半年财务会计报告（10年）</w:t>
            </w:r>
          </w:p>
          <w:p>
            <w:pPr>
              <w:ind w:firstLine="851"/>
              <w:rPr>
                <w:rFonts w:ascii="宋体" w:hAnsi="宋体" w:cs="宋体"/>
                <w:color w:val="auto"/>
                <w:szCs w:val="21"/>
                <w:highlight w:val="none"/>
              </w:rPr>
            </w:pPr>
            <w:r>
              <w:rPr>
                <w:rFonts w:hint="eastAsia" w:ascii="宋体" w:hAnsi="宋体" w:cs="宋体"/>
                <w:color w:val="auto"/>
                <w:szCs w:val="21"/>
                <w:highlight w:val="none"/>
              </w:rPr>
              <w:t>2010年</w:t>
            </w:r>
          </w:p>
          <w:p>
            <w:pPr>
              <w:ind w:firstLine="1276"/>
              <w:rPr>
                <w:rFonts w:ascii="宋体" w:hAnsi="宋体" w:cs="宋体"/>
                <w:color w:val="auto"/>
                <w:szCs w:val="21"/>
                <w:highlight w:val="none"/>
              </w:rPr>
            </w:pPr>
            <w:r>
              <w:rPr>
                <w:rFonts w:hint="eastAsia" w:ascii="宋体" w:hAnsi="宋体" w:cs="宋体"/>
                <w:color w:val="auto"/>
                <w:szCs w:val="21"/>
                <w:highlight w:val="none"/>
              </w:rPr>
              <w:t>1．年度财务会计报告（决算）（永久）</w:t>
            </w:r>
          </w:p>
          <w:p>
            <w:pPr>
              <w:ind w:firstLine="1276"/>
              <w:rPr>
                <w:rFonts w:ascii="宋体" w:hAnsi="宋体" w:cs="宋体"/>
                <w:color w:val="auto"/>
                <w:szCs w:val="21"/>
                <w:highlight w:val="none"/>
              </w:rPr>
            </w:pPr>
            <w:r>
              <w:rPr>
                <w:rFonts w:hint="eastAsia" w:ascii="宋体" w:hAnsi="宋体" w:cs="宋体"/>
                <w:color w:val="auto"/>
                <w:szCs w:val="21"/>
                <w:highlight w:val="none"/>
              </w:rPr>
              <w:t>2．月、季度、半年财务会计报告（10年）</w:t>
            </w:r>
          </w:p>
          <w:p>
            <w:pPr>
              <w:ind w:firstLine="1276"/>
              <w:rPr>
                <w:rFonts w:ascii="宋体" w:hAnsi="宋体" w:cs="宋体"/>
                <w:color w:val="auto"/>
                <w:szCs w:val="21"/>
                <w:highlight w:val="none"/>
              </w:rPr>
            </w:pPr>
            <w:r>
              <w:rPr>
                <w:rFonts w:hint="eastAsia" w:ascii="宋体" w:hAnsi="宋体" w:cs="宋体"/>
                <w:color w:val="auto"/>
                <w:szCs w:val="21"/>
                <w:highlight w:val="none"/>
              </w:rPr>
              <w:t>……</w:t>
            </w:r>
          </w:p>
          <w:p>
            <w:pPr>
              <w:ind w:firstLine="426"/>
              <w:rPr>
                <w:rFonts w:ascii="宋体" w:hAnsi="宋体" w:cs="宋体"/>
                <w:color w:val="auto"/>
                <w:szCs w:val="21"/>
                <w:highlight w:val="none"/>
              </w:rPr>
            </w:pPr>
            <w:r>
              <w:rPr>
                <w:rFonts w:hint="eastAsia" w:ascii="宋体" w:hAnsi="宋体" w:cs="宋体"/>
                <w:color w:val="auto"/>
                <w:szCs w:val="21"/>
                <w:highlight w:val="none"/>
              </w:rPr>
              <w:t>4其他会计资料</w:t>
            </w:r>
          </w:p>
          <w:p>
            <w:pPr>
              <w:ind w:firstLine="993"/>
              <w:rPr>
                <w:rFonts w:ascii="宋体" w:hAnsi="宋体" w:cs="宋体"/>
                <w:color w:val="auto"/>
                <w:szCs w:val="21"/>
                <w:highlight w:val="none"/>
              </w:rPr>
            </w:pPr>
            <w:r>
              <w:rPr>
                <w:rFonts w:hint="eastAsia" w:ascii="宋体" w:hAnsi="宋体" w:cs="宋体"/>
                <w:color w:val="auto"/>
                <w:szCs w:val="21"/>
                <w:highlight w:val="none"/>
              </w:rPr>
              <w:t>2009年</w:t>
            </w:r>
          </w:p>
          <w:p>
            <w:pPr>
              <w:ind w:firstLine="1276"/>
              <w:rPr>
                <w:rFonts w:ascii="宋体" w:hAnsi="宋体" w:cs="宋体"/>
                <w:color w:val="auto"/>
                <w:szCs w:val="21"/>
                <w:highlight w:val="none"/>
              </w:rPr>
            </w:pPr>
            <w:r>
              <w:rPr>
                <w:rFonts w:hint="eastAsia" w:ascii="宋体" w:hAnsi="宋体" w:cs="宋体"/>
                <w:color w:val="auto"/>
                <w:szCs w:val="21"/>
                <w:highlight w:val="none"/>
              </w:rPr>
              <w:t>1．年度内部控制评价报告（永久）</w:t>
            </w:r>
          </w:p>
          <w:p>
            <w:pPr>
              <w:ind w:firstLine="1276"/>
              <w:rPr>
                <w:rFonts w:ascii="宋体" w:hAnsi="宋体" w:cs="宋体"/>
                <w:color w:val="auto"/>
                <w:szCs w:val="21"/>
                <w:highlight w:val="none"/>
              </w:rPr>
            </w:pPr>
            <w:r>
              <w:rPr>
                <w:rFonts w:hint="eastAsia" w:ascii="宋体" w:hAnsi="宋体" w:cs="宋体"/>
                <w:color w:val="auto"/>
                <w:szCs w:val="21"/>
                <w:highlight w:val="none"/>
              </w:rPr>
              <w:t>2．年度内部控制审计报告（永久）</w:t>
            </w:r>
          </w:p>
          <w:p>
            <w:pPr>
              <w:ind w:firstLine="1276"/>
              <w:rPr>
                <w:rFonts w:ascii="宋体" w:hAnsi="宋体" w:cs="宋体"/>
                <w:color w:val="auto"/>
                <w:szCs w:val="21"/>
                <w:highlight w:val="none"/>
              </w:rPr>
            </w:pPr>
            <w:r>
              <w:rPr>
                <w:rFonts w:ascii="宋体" w:hAnsi="宋体" w:cs="宋体"/>
                <w:color w:val="auto"/>
                <w:szCs w:val="21"/>
                <w:highlight w:val="none"/>
              </w:rPr>
              <w:t>3．会计档案保管清册（永久）</w:t>
            </w:r>
          </w:p>
          <w:p>
            <w:pPr>
              <w:ind w:firstLine="1276"/>
              <w:rPr>
                <w:rFonts w:ascii="宋体" w:hAnsi="宋体" w:cs="宋体"/>
                <w:color w:val="auto"/>
                <w:szCs w:val="21"/>
                <w:highlight w:val="none"/>
              </w:rPr>
            </w:pPr>
            <w:r>
              <w:rPr>
                <w:rFonts w:ascii="宋体" w:hAnsi="宋体" w:cs="宋体"/>
                <w:color w:val="auto"/>
                <w:szCs w:val="21"/>
                <w:highlight w:val="none"/>
              </w:rPr>
              <w:t>4．会计档案销毁清册（永久）</w:t>
            </w:r>
          </w:p>
          <w:p>
            <w:pPr>
              <w:ind w:firstLine="1276"/>
              <w:rPr>
                <w:rFonts w:ascii="宋体" w:hAnsi="宋体" w:cs="宋体"/>
                <w:color w:val="auto"/>
                <w:szCs w:val="21"/>
                <w:highlight w:val="none"/>
              </w:rPr>
            </w:pPr>
            <w:r>
              <w:rPr>
                <w:rFonts w:ascii="宋体" w:hAnsi="宋体" w:cs="宋体"/>
                <w:color w:val="auto"/>
                <w:szCs w:val="21"/>
                <w:highlight w:val="none"/>
              </w:rPr>
              <w:t>5．会计档案移交清册（永久</w:t>
            </w:r>
            <w:r>
              <w:rPr>
                <w:rFonts w:hint="eastAsia" w:ascii="宋体" w:hAnsi="宋体" w:cs="宋体"/>
                <w:color w:val="auto"/>
                <w:szCs w:val="21"/>
                <w:highlight w:val="none"/>
              </w:rPr>
              <w:t>）</w:t>
            </w:r>
          </w:p>
          <w:p>
            <w:pPr>
              <w:ind w:firstLine="1276"/>
              <w:rPr>
                <w:rFonts w:ascii="宋体" w:hAnsi="宋体" w:cs="宋体"/>
                <w:color w:val="auto"/>
                <w:szCs w:val="21"/>
                <w:highlight w:val="none"/>
              </w:rPr>
            </w:pPr>
            <w:r>
              <w:rPr>
                <w:rFonts w:hint="eastAsia" w:ascii="宋体" w:hAnsi="宋体" w:cs="宋体"/>
                <w:color w:val="auto"/>
                <w:szCs w:val="21"/>
                <w:highlight w:val="none"/>
              </w:rPr>
              <w:t>6．银行余额调节表（10年）</w:t>
            </w:r>
          </w:p>
          <w:p>
            <w:pPr>
              <w:ind w:firstLine="1276"/>
              <w:rPr>
                <w:rFonts w:ascii="宋体" w:hAnsi="宋体" w:cs="宋体"/>
                <w:color w:val="auto"/>
                <w:szCs w:val="21"/>
                <w:highlight w:val="none"/>
              </w:rPr>
            </w:pPr>
            <w:r>
              <w:rPr>
                <w:rFonts w:hint="eastAsia" w:ascii="宋体" w:hAnsi="宋体" w:cs="宋体"/>
                <w:color w:val="auto"/>
                <w:szCs w:val="21"/>
                <w:highlight w:val="none"/>
              </w:rPr>
              <w:t>7．银行对账单（10年）</w:t>
            </w:r>
          </w:p>
          <w:p>
            <w:pPr>
              <w:ind w:firstLine="851"/>
              <w:rPr>
                <w:rFonts w:ascii="宋体" w:hAnsi="宋体" w:cs="宋体"/>
                <w:color w:val="auto"/>
                <w:szCs w:val="21"/>
                <w:highlight w:val="none"/>
              </w:rPr>
            </w:pPr>
            <w:r>
              <w:rPr>
                <w:rFonts w:hint="eastAsia" w:ascii="宋体" w:hAnsi="宋体" w:cs="宋体"/>
                <w:color w:val="auto"/>
                <w:szCs w:val="21"/>
                <w:highlight w:val="none"/>
              </w:rPr>
              <w:t>2010年</w:t>
            </w:r>
          </w:p>
          <w:p>
            <w:pPr>
              <w:ind w:firstLine="480"/>
              <w:rPr>
                <w:rFonts w:ascii="宋体" w:hAnsi="宋体" w:cs="宋体"/>
                <w:color w:val="auto"/>
                <w:szCs w:val="21"/>
                <w:highlight w:val="none"/>
              </w:rPr>
            </w:pPr>
            <w:r>
              <w:rPr>
                <w:rFonts w:hint="eastAsia" w:ascii="宋体" w:hAnsi="宋体" w:cs="宋体"/>
                <w:color w:val="auto"/>
                <w:szCs w:val="21"/>
                <w:highlight w:val="none"/>
              </w:rPr>
              <w:t>……</w:t>
            </w:r>
          </w:p>
          <w:p>
            <w:pPr>
              <w:ind w:firstLine="424" w:firstLineChars="202"/>
              <w:rPr>
                <w:color w:val="auto"/>
                <w:szCs w:val="21"/>
                <w:highlight w:val="none"/>
              </w:rPr>
            </w:pPr>
            <w:r>
              <w:rPr>
                <w:rFonts w:hint="eastAsia" w:ascii="宋体" w:hAnsi="宋体" w:cs="宋体"/>
                <w:color w:val="auto"/>
                <w:szCs w:val="21"/>
                <w:highlight w:val="none"/>
              </w:rPr>
              <w:t>本方法适用于大多数的中、小型单位，即会计档案的年形成量不大的单位。它也是目前大多数单位采用的方法。</w:t>
            </w:r>
          </w:p>
        </w:tc>
      </w:tr>
    </w:tbl>
    <w:p>
      <w:pPr>
        <w:ind w:firstLine="373" w:firstLineChars="178"/>
        <w:rPr>
          <w:rFonts w:ascii="宋体" w:hAnsi="宋体" w:cs="宋体"/>
          <w:color w:val="auto"/>
          <w:szCs w:val="21"/>
          <w:highlight w:val="none"/>
        </w:rPr>
      </w:pPr>
      <w:r>
        <w:rPr>
          <w:rFonts w:hint="eastAsia"/>
          <w:color w:val="auto"/>
          <w:szCs w:val="21"/>
          <w:highlight w:val="none"/>
        </w:rPr>
        <w:t>b）</w:t>
      </w:r>
      <w:r>
        <w:rPr>
          <w:rFonts w:hint="eastAsia" w:ascii="宋体" w:hAnsi="宋体" w:cs="宋体"/>
          <w:color w:val="auto"/>
          <w:szCs w:val="21"/>
          <w:highlight w:val="none"/>
        </w:rPr>
        <w:t>会计年度—会计文件形式—保管期限分类法</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480"/>
              <w:rPr>
                <w:rFonts w:ascii="宋体" w:hAnsi="宋体" w:cs="宋体"/>
                <w:color w:val="auto"/>
                <w:szCs w:val="21"/>
                <w:highlight w:val="none"/>
              </w:rPr>
            </w:pPr>
            <w:r>
              <w:rPr>
                <w:rFonts w:hint="eastAsia" w:ascii="宋体" w:hAnsi="宋体" w:cs="宋体"/>
                <w:color w:val="auto"/>
                <w:szCs w:val="21"/>
                <w:highlight w:val="none"/>
              </w:rPr>
              <w:t>具体分类方法如下：</w:t>
            </w:r>
          </w:p>
          <w:p>
            <w:pPr>
              <w:ind w:firstLine="480"/>
              <w:rPr>
                <w:rFonts w:ascii="宋体" w:hAnsi="宋体" w:cs="宋体"/>
                <w:color w:val="auto"/>
                <w:szCs w:val="21"/>
                <w:highlight w:val="none"/>
              </w:rPr>
            </w:pPr>
            <w:r>
              <w:rPr>
                <w:rFonts w:hint="eastAsia" w:ascii="宋体" w:hAnsi="宋体" w:cs="宋体"/>
                <w:color w:val="auto"/>
                <w:szCs w:val="21"/>
                <w:highlight w:val="none"/>
              </w:rPr>
              <w:t>2009年</w:t>
            </w:r>
          </w:p>
          <w:p>
            <w:pPr>
              <w:ind w:firstLine="851"/>
              <w:rPr>
                <w:rFonts w:ascii="宋体" w:hAnsi="宋体" w:cs="宋体"/>
                <w:color w:val="auto"/>
                <w:szCs w:val="21"/>
                <w:highlight w:val="none"/>
              </w:rPr>
            </w:pPr>
            <w:r>
              <w:rPr>
                <w:rFonts w:hint="eastAsia" w:ascii="宋体" w:hAnsi="宋体" w:cs="宋体"/>
                <w:color w:val="auto"/>
                <w:szCs w:val="21"/>
                <w:highlight w:val="none"/>
              </w:rPr>
              <w:t>1会计凭证</w:t>
            </w:r>
          </w:p>
          <w:p>
            <w:pPr>
              <w:ind w:firstLine="1276"/>
              <w:rPr>
                <w:rFonts w:ascii="宋体" w:hAnsi="宋体" w:cs="宋体"/>
                <w:color w:val="auto"/>
                <w:szCs w:val="21"/>
                <w:highlight w:val="none"/>
              </w:rPr>
            </w:pPr>
            <w:r>
              <w:rPr>
                <w:rFonts w:hint="eastAsia" w:ascii="宋体" w:hAnsi="宋体" w:cs="宋体"/>
                <w:color w:val="auto"/>
                <w:szCs w:val="21"/>
                <w:highlight w:val="none"/>
              </w:rPr>
              <w:t>1．收款凭证（30年）</w:t>
            </w:r>
          </w:p>
          <w:p>
            <w:pPr>
              <w:ind w:firstLine="1276"/>
              <w:rPr>
                <w:rFonts w:ascii="宋体" w:hAnsi="宋体" w:cs="宋体"/>
                <w:color w:val="auto"/>
                <w:szCs w:val="21"/>
                <w:highlight w:val="none"/>
              </w:rPr>
            </w:pPr>
            <w:r>
              <w:rPr>
                <w:rFonts w:hint="eastAsia" w:ascii="宋体" w:hAnsi="宋体" w:cs="宋体"/>
                <w:color w:val="auto"/>
                <w:szCs w:val="21"/>
                <w:highlight w:val="none"/>
              </w:rPr>
              <w:t>2．付款凭证（30年）</w:t>
            </w:r>
          </w:p>
          <w:p>
            <w:pPr>
              <w:ind w:firstLine="1276"/>
              <w:rPr>
                <w:rFonts w:ascii="宋体" w:hAnsi="宋体" w:cs="宋体"/>
                <w:color w:val="auto"/>
                <w:szCs w:val="21"/>
                <w:highlight w:val="none"/>
              </w:rPr>
            </w:pPr>
            <w:r>
              <w:rPr>
                <w:rFonts w:hint="eastAsia" w:ascii="宋体" w:hAnsi="宋体" w:cs="宋体"/>
                <w:color w:val="auto"/>
                <w:szCs w:val="21"/>
                <w:highlight w:val="none"/>
              </w:rPr>
              <w:t>3．转账凭证（30年）</w:t>
            </w:r>
          </w:p>
          <w:p>
            <w:pPr>
              <w:ind w:firstLine="851"/>
              <w:rPr>
                <w:rFonts w:ascii="宋体" w:hAnsi="宋体" w:cs="宋体"/>
                <w:color w:val="auto"/>
                <w:szCs w:val="21"/>
                <w:highlight w:val="none"/>
              </w:rPr>
            </w:pPr>
            <w:r>
              <w:rPr>
                <w:rFonts w:hint="eastAsia" w:ascii="宋体" w:hAnsi="宋体" w:cs="宋体"/>
                <w:color w:val="auto"/>
                <w:szCs w:val="21"/>
                <w:highlight w:val="none"/>
              </w:rPr>
              <w:t>2会计账簿</w:t>
            </w:r>
          </w:p>
          <w:p>
            <w:pPr>
              <w:ind w:firstLine="1276"/>
              <w:rPr>
                <w:rFonts w:ascii="宋体" w:hAnsi="宋体" w:cs="宋体"/>
                <w:color w:val="auto"/>
                <w:szCs w:val="21"/>
                <w:highlight w:val="none"/>
              </w:rPr>
            </w:pPr>
            <w:r>
              <w:rPr>
                <w:rFonts w:hint="eastAsia" w:ascii="宋体" w:hAnsi="宋体" w:cs="宋体"/>
                <w:color w:val="auto"/>
                <w:szCs w:val="21"/>
                <w:highlight w:val="none"/>
              </w:rPr>
              <w:t>1．银行存款日记账(30年)</w:t>
            </w:r>
          </w:p>
          <w:p>
            <w:pPr>
              <w:ind w:firstLine="1276"/>
              <w:rPr>
                <w:rFonts w:ascii="宋体" w:hAnsi="宋体" w:cs="宋体"/>
                <w:color w:val="auto"/>
                <w:szCs w:val="21"/>
                <w:highlight w:val="none"/>
              </w:rPr>
            </w:pPr>
            <w:r>
              <w:rPr>
                <w:rFonts w:hint="eastAsia" w:ascii="宋体" w:hAnsi="宋体" w:cs="宋体"/>
                <w:color w:val="auto"/>
                <w:szCs w:val="21"/>
                <w:highlight w:val="none"/>
              </w:rPr>
              <w:t>2．现金日记账（30年）</w:t>
            </w:r>
          </w:p>
          <w:p>
            <w:pPr>
              <w:ind w:firstLine="1276"/>
              <w:rPr>
                <w:rFonts w:ascii="宋体" w:hAnsi="宋体" w:cs="宋体"/>
                <w:color w:val="auto"/>
                <w:szCs w:val="21"/>
                <w:highlight w:val="none"/>
              </w:rPr>
            </w:pPr>
            <w:r>
              <w:rPr>
                <w:rFonts w:hint="eastAsia" w:ascii="宋体" w:hAnsi="宋体" w:cs="宋体"/>
                <w:color w:val="auto"/>
                <w:szCs w:val="21"/>
                <w:highlight w:val="none"/>
              </w:rPr>
              <w:t>3．总    账（30年）</w:t>
            </w:r>
          </w:p>
          <w:p>
            <w:pPr>
              <w:ind w:firstLine="1276"/>
              <w:rPr>
                <w:rFonts w:ascii="宋体" w:hAnsi="宋体" w:cs="宋体"/>
                <w:color w:val="auto"/>
                <w:szCs w:val="21"/>
                <w:highlight w:val="none"/>
              </w:rPr>
            </w:pPr>
            <w:r>
              <w:rPr>
                <w:rFonts w:hint="eastAsia" w:ascii="宋体" w:hAnsi="宋体" w:cs="宋体"/>
                <w:color w:val="auto"/>
                <w:szCs w:val="21"/>
                <w:highlight w:val="none"/>
              </w:rPr>
              <w:t>4．明细分类账（30年）</w:t>
            </w:r>
          </w:p>
          <w:p>
            <w:pPr>
              <w:ind w:firstLine="1276"/>
              <w:rPr>
                <w:rFonts w:ascii="宋体" w:hAnsi="宋体" w:cs="宋体"/>
                <w:color w:val="auto"/>
                <w:szCs w:val="21"/>
                <w:highlight w:val="none"/>
              </w:rPr>
            </w:pPr>
            <w:r>
              <w:rPr>
                <w:rFonts w:hint="eastAsia" w:ascii="宋体" w:hAnsi="宋体" w:cs="宋体"/>
                <w:color w:val="auto"/>
                <w:szCs w:val="21"/>
                <w:highlight w:val="none"/>
              </w:rPr>
              <w:t>5．固定资产卡片（30年或固定资产报废后5年）</w:t>
            </w:r>
          </w:p>
          <w:p>
            <w:pPr>
              <w:ind w:firstLine="1276"/>
              <w:rPr>
                <w:rFonts w:ascii="宋体" w:hAnsi="宋体" w:cs="宋体"/>
                <w:color w:val="auto"/>
                <w:szCs w:val="21"/>
                <w:highlight w:val="none"/>
              </w:rPr>
            </w:pPr>
            <w:r>
              <w:rPr>
                <w:rFonts w:hint="eastAsia" w:ascii="宋体" w:hAnsi="宋体" w:cs="宋体"/>
                <w:color w:val="auto"/>
                <w:szCs w:val="21"/>
                <w:highlight w:val="none"/>
              </w:rPr>
              <w:t>6．其他辅助账簿（30年）</w:t>
            </w:r>
          </w:p>
          <w:p>
            <w:pPr>
              <w:ind w:firstLine="851"/>
              <w:rPr>
                <w:rFonts w:ascii="宋体" w:hAnsi="宋体" w:cs="宋体"/>
                <w:color w:val="auto"/>
                <w:szCs w:val="21"/>
                <w:highlight w:val="none"/>
              </w:rPr>
            </w:pPr>
            <w:r>
              <w:rPr>
                <w:rFonts w:hint="eastAsia" w:ascii="宋体" w:hAnsi="宋体" w:cs="宋体"/>
                <w:color w:val="auto"/>
                <w:szCs w:val="21"/>
                <w:highlight w:val="none"/>
              </w:rPr>
              <w:t>3财务会计报告</w:t>
            </w:r>
          </w:p>
          <w:p>
            <w:pPr>
              <w:ind w:firstLine="1276"/>
              <w:rPr>
                <w:rFonts w:ascii="宋体" w:hAnsi="宋体" w:cs="宋体"/>
                <w:color w:val="auto"/>
                <w:szCs w:val="21"/>
                <w:highlight w:val="none"/>
              </w:rPr>
            </w:pPr>
            <w:r>
              <w:rPr>
                <w:rFonts w:hint="eastAsia" w:ascii="宋体" w:hAnsi="宋体" w:cs="宋体"/>
                <w:color w:val="auto"/>
                <w:szCs w:val="21"/>
                <w:highlight w:val="none"/>
              </w:rPr>
              <w:t>1．年度财务会计报告（决算）（永久）</w:t>
            </w:r>
          </w:p>
          <w:p>
            <w:pPr>
              <w:ind w:firstLine="1276"/>
              <w:rPr>
                <w:rFonts w:ascii="宋体" w:hAnsi="宋体" w:cs="宋体"/>
                <w:color w:val="auto"/>
                <w:szCs w:val="21"/>
                <w:highlight w:val="none"/>
              </w:rPr>
            </w:pPr>
            <w:r>
              <w:rPr>
                <w:rFonts w:hint="eastAsia" w:ascii="宋体" w:hAnsi="宋体" w:cs="宋体"/>
                <w:color w:val="auto"/>
                <w:szCs w:val="21"/>
                <w:highlight w:val="none"/>
              </w:rPr>
              <w:t>2．月、季度、半年财务会计报告（10年）</w:t>
            </w:r>
          </w:p>
          <w:p>
            <w:pPr>
              <w:ind w:firstLine="851"/>
              <w:rPr>
                <w:rFonts w:ascii="宋体" w:hAnsi="宋体" w:cs="宋体"/>
                <w:color w:val="auto"/>
                <w:szCs w:val="21"/>
                <w:highlight w:val="none"/>
              </w:rPr>
            </w:pPr>
            <w:r>
              <w:rPr>
                <w:rFonts w:hint="eastAsia" w:ascii="宋体" w:hAnsi="宋体" w:cs="宋体"/>
                <w:color w:val="auto"/>
                <w:szCs w:val="21"/>
                <w:highlight w:val="none"/>
              </w:rPr>
              <w:t>4其他会计资料</w:t>
            </w:r>
          </w:p>
          <w:p>
            <w:pPr>
              <w:ind w:firstLine="1276"/>
              <w:rPr>
                <w:rFonts w:ascii="宋体" w:hAnsi="宋体" w:cs="宋体"/>
                <w:color w:val="auto"/>
                <w:szCs w:val="21"/>
                <w:highlight w:val="none"/>
              </w:rPr>
            </w:pPr>
            <w:r>
              <w:rPr>
                <w:rFonts w:hint="eastAsia" w:ascii="宋体" w:hAnsi="宋体" w:cs="宋体"/>
                <w:color w:val="auto"/>
                <w:szCs w:val="21"/>
                <w:highlight w:val="none"/>
              </w:rPr>
              <w:t>1．年度内部控制评价报告（永久）</w:t>
            </w:r>
          </w:p>
          <w:p>
            <w:pPr>
              <w:ind w:firstLine="1276"/>
              <w:rPr>
                <w:rFonts w:ascii="宋体" w:hAnsi="宋体" w:cs="宋体"/>
                <w:color w:val="auto"/>
                <w:szCs w:val="21"/>
                <w:highlight w:val="none"/>
              </w:rPr>
            </w:pPr>
            <w:r>
              <w:rPr>
                <w:rFonts w:hint="eastAsia" w:ascii="宋体" w:hAnsi="宋体" w:cs="宋体"/>
                <w:color w:val="auto"/>
                <w:szCs w:val="21"/>
                <w:highlight w:val="none"/>
              </w:rPr>
              <w:t>2．年度内部控制审计报告（永久）</w:t>
            </w:r>
          </w:p>
          <w:p>
            <w:pPr>
              <w:ind w:firstLine="1276"/>
              <w:rPr>
                <w:rFonts w:ascii="宋体" w:hAnsi="宋体" w:cs="宋体"/>
                <w:color w:val="auto"/>
                <w:szCs w:val="21"/>
                <w:highlight w:val="none"/>
              </w:rPr>
            </w:pPr>
            <w:r>
              <w:rPr>
                <w:rFonts w:hint="eastAsia" w:ascii="宋体" w:hAnsi="宋体" w:cs="宋体"/>
                <w:color w:val="auto"/>
                <w:szCs w:val="21"/>
                <w:highlight w:val="none"/>
              </w:rPr>
              <w:t>3．会计档案保管清册（永久）</w:t>
            </w:r>
          </w:p>
          <w:p>
            <w:pPr>
              <w:ind w:firstLine="1276"/>
              <w:rPr>
                <w:rFonts w:ascii="宋体" w:hAnsi="宋体" w:cs="宋体"/>
                <w:color w:val="auto"/>
                <w:szCs w:val="21"/>
                <w:highlight w:val="none"/>
              </w:rPr>
            </w:pPr>
            <w:r>
              <w:rPr>
                <w:rFonts w:hint="eastAsia" w:ascii="宋体" w:hAnsi="宋体" w:cs="宋体"/>
                <w:color w:val="auto"/>
                <w:szCs w:val="21"/>
                <w:highlight w:val="none"/>
              </w:rPr>
              <w:t>4．会计档案销毁清册（永久）</w:t>
            </w:r>
          </w:p>
          <w:p>
            <w:pPr>
              <w:ind w:firstLine="1276"/>
              <w:rPr>
                <w:rFonts w:ascii="宋体" w:hAnsi="宋体" w:cs="宋体"/>
                <w:color w:val="auto"/>
                <w:szCs w:val="21"/>
                <w:highlight w:val="none"/>
              </w:rPr>
            </w:pPr>
            <w:r>
              <w:rPr>
                <w:rFonts w:hint="eastAsia" w:ascii="宋体" w:hAnsi="宋体" w:cs="宋体"/>
                <w:color w:val="auto"/>
                <w:szCs w:val="21"/>
                <w:highlight w:val="none"/>
              </w:rPr>
              <w:t>5．会计档案移交清册（永久）</w:t>
            </w:r>
          </w:p>
          <w:p>
            <w:pPr>
              <w:ind w:firstLine="1276"/>
              <w:rPr>
                <w:rFonts w:ascii="宋体" w:hAnsi="宋体" w:cs="宋体"/>
                <w:color w:val="auto"/>
                <w:szCs w:val="21"/>
                <w:highlight w:val="none"/>
              </w:rPr>
            </w:pPr>
            <w:r>
              <w:rPr>
                <w:rFonts w:hint="eastAsia" w:ascii="宋体" w:hAnsi="宋体" w:cs="宋体"/>
                <w:color w:val="auto"/>
                <w:szCs w:val="21"/>
                <w:highlight w:val="none"/>
              </w:rPr>
              <w:t>6．银行余额调节表（10年）</w:t>
            </w:r>
          </w:p>
          <w:p>
            <w:pPr>
              <w:ind w:firstLine="1276"/>
              <w:rPr>
                <w:rFonts w:ascii="宋体" w:hAnsi="宋体" w:cs="宋体"/>
                <w:color w:val="auto"/>
                <w:szCs w:val="21"/>
                <w:highlight w:val="none"/>
              </w:rPr>
            </w:pPr>
            <w:r>
              <w:rPr>
                <w:rFonts w:hint="eastAsia" w:ascii="宋体" w:hAnsi="宋体" w:cs="宋体"/>
                <w:color w:val="auto"/>
                <w:szCs w:val="21"/>
                <w:highlight w:val="none"/>
              </w:rPr>
              <w:t>7．银行对账单（10年）</w:t>
            </w:r>
          </w:p>
          <w:p>
            <w:pPr>
              <w:ind w:firstLine="480"/>
              <w:rPr>
                <w:rFonts w:ascii="宋体" w:hAnsi="宋体" w:cs="宋体"/>
                <w:color w:val="auto"/>
                <w:szCs w:val="21"/>
                <w:highlight w:val="none"/>
              </w:rPr>
            </w:pPr>
            <w:r>
              <w:rPr>
                <w:rFonts w:hint="eastAsia" w:ascii="宋体" w:hAnsi="宋体" w:cs="宋体"/>
                <w:color w:val="auto"/>
                <w:szCs w:val="21"/>
                <w:highlight w:val="none"/>
              </w:rPr>
              <w:t>2010年</w:t>
            </w:r>
          </w:p>
          <w:p>
            <w:pPr>
              <w:ind w:firstLine="851"/>
              <w:rPr>
                <w:rFonts w:ascii="宋体" w:hAnsi="宋体" w:cs="宋体"/>
                <w:color w:val="auto"/>
                <w:szCs w:val="21"/>
                <w:highlight w:val="none"/>
              </w:rPr>
            </w:pPr>
            <w:r>
              <w:rPr>
                <w:rFonts w:hint="eastAsia" w:ascii="宋体" w:hAnsi="宋体" w:cs="宋体"/>
                <w:color w:val="auto"/>
                <w:szCs w:val="21"/>
                <w:highlight w:val="none"/>
              </w:rPr>
              <w:t>1会计凭证</w:t>
            </w:r>
          </w:p>
          <w:p>
            <w:pPr>
              <w:ind w:firstLine="1276"/>
              <w:rPr>
                <w:rFonts w:ascii="宋体" w:hAnsi="宋体" w:cs="宋体"/>
                <w:color w:val="auto"/>
                <w:szCs w:val="21"/>
                <w:highlight w:val="none"/>
              </w:rPr>
            </w:pPr>
            <w:r>
              <w:rPr>
                <w:rFonts w:hint="eastAsia" w:ascii="宋体" w:hAnsi="宋体" w:cs="宋体"/>
                <w:color w:val="auto"/>
                <w:szCs w:val="21"/>
                <w:highlight w:val="none"/>
              </w:rPr>
              <w:t>1．收款凭证(30年)</w:t>
            </w:r>
          </w:p>
          <w:p>
            <w:pPr>
              <w:ind w:firstLine="1276"/>
              <w:rPr>
                <w:rFonts w:ascii="宋体" w:hAnsi="宋体" w:cs="宋体"/>
                <w:color w:val="auto"/>
                <w:szCs w:val="21"/>
                <w:highlight w:val="none"/>
              </w:rPr>
            </w:pPr>
            <w:r>
              <w:rPr>
                <w:rFonts w:hint="eastAsia" w:ascii="宋体" w:hAnsi="宋体" w:cs="宋体"/>
                <w:color w:val="auto"/>
                <w:szCs w:val="21"/>
                <w:highlight w:val="none"/>
              </w:rPr>
              <w:t>2．付款凭证(30年)</w:t>
            </w:r>
          </w:p>
          <w:p>
            <w:pPr>
              <w:ind w:firstLine="1276"/>
              <w:rPr>
                <w:rFonts w:ascii="宋体" w:hAnsi="宋体" w:cs="宋体"/>
                <w:color w:val="auto"/>
                <w:szCs w:val="21"/>
                <w:highlight w:val="none"/>
              </w:rPr>
            </w:pPr>
            <w:r>
              <w:rPr>
                <w:rFonts w:hint="eastAsia" w:ascii="宋体" w:hAnsi="宋体" w:cs="宋体"/>
                <w:color w:val="auto"/>
                <w:szCs w:val="21"/>
                <w:highlight w:val="none"/>
              </w:rPr>
              <w:t>3．转账凭证(30年)</w:t>
            </w:r>
          </w:p>
          <w:p>
            <w:pPr>
              <w:ind w:firstLine="851"/>
              <w:rPr>
                <w:rFonts w:ascii="宋体" w:hAnsi="宋体" w:cs="宋体"/>
                <w:color w:val="auto"/>
                <w:szCs w:val="21"/>
                <w:highlight w:val="none"/>
              </w:rPr>
            </w:pPr>
            <w:r>
              <w:rPr>
                <w:rFonts w:hint="eastAsia" w:ascii="宋体" w:hAnsi="宋体" w:cs="宋体"/>
                <w:color w:val="auto"/>
                <w:szCs w:val="21"/>
                <w:highlight w:val="none"/>
              </w:rPr>
              <w:t>2 会计账簿</w:t>
            </w:r>
          </w:p>
          <w:p>
            <w:pPr>
              <w:ind w:firstLine="1276"/>
              <w:rPr>
                <w:rFonts w:ascii="宋体" w:hAnsi="宋体" w:cs="宋体"/>
                <w:color w:val="auto"/>
                <w:szCs w:val="21"/>
                <w:highlight w:val="none"/>
              </w:rPr>
            </w:pPr>
            <w:r>
              <w:rPr>
                <w:rFonts w:hint="eastAsia" w:ascii="宋体" w:hAnsi="宋体" w:cs="宋体"/>
                <w:color w:val="auto"/>
                <w:szCs w:val="21"/>
                <w:highlight w:val="none"/>
              </w:rPr>
              <w:t>1．银行存款日记账（30年）</w:t>
            </w:r>
          </w:p>
          <w:p>
            <w:pPr>
              <w:ind w:firstLine="1276"/>
              <w:rPr>
                <w:rFonts w:ascii="宋体" w:hAnsi="宋体" w:cs="宋体"/>
                <w:color w:val="auto"/>
                <w:szCs w:val="21"/>
                <w:highlight w:val="none"/>
              </w:rPr>
            </w:pPr>
            <w:r>
              <w:rPr>
                <w:rFonts w:hint="eastAsia" w:ascii="宋体" w:hAnsi="宋体" w:cs="宋体"/>
                <w:color w:val="auto"/>
                <w:szCs w:val="21"/>
                <w:highlight w:val="none"/>
              </w:rPr>
              <w:t>2．现金日记账(30年)</w:t>
            </w:r>
          </w:p>
          <w:p>
            <w:pPr>
              <w:ind w:firstLine="1276"/>
              <w:rPr>
                <w:rFonts w:ascii="宋体" w:hAnsi="宋体" w:cs="宋体"/>
                <w:color w:val="auto"/>
                <w:szCs w:val="21"/>
                <w:highlight w:val="none"/>
              </w:rPr>
            </w:pPr>
            <w:r>
              <w:rPr>
                <w:rFonts w:hint="eastAsia" w:ascii="宋体" w:hAnsi="宋体" w:cs="宋体"/>
                <w:color w:val="auto"/>
                <w:szCs w:val="21"/>
                <w:highlight w:val="none"/>
              </w:rPr>
              <w:t>3．总    账(30年)</w:t>
            </w:r>
          </w:p>
          <w:p>
            <w:pPr>
              <w:ind w:firstLine="1276"/>
              <w:rPr>
                <w:rFonts w:ascii="宋体" w:hAnsi="宋体" w:cs="宋体"/>
                <w:color w:val="auto"/>
                <w:szCs w:val="21"/>
                <w:highlight w:val="none"/>
              </w:rPr>
            </w:pPr>
            <w:r>
              <w:rPr>
                <w:rFonts w:hint="eastAsia" w:ascii="宋体" w:hAnsi="宋体" w:cs="宋体"/>
                <w:color w:val="auto"/>
                <w:szCs w:val="21"/>
                <w:highlight w:val="none"/>
              </w:rPr>
              <w:t>4．明细分类账(30年)</w:t>
            </w:r>
          </w:p>
          <w:p>
            <w:pPr>
              <w:ind w:firstLine="1276"/>
              <w:rPr>
                <w:rFonts w:ascii="宋体" w:hAnsi="宋体" w:cs="宋体"/>
                <w:color w:val="auto"/>
                <w:szCs w:val="21"/>
                <w:highlight w:val="none"/>
              </w:rPr>
            </w:pPr>
            <w:r>
              <w:rPr>
                <w:rFonts w:hint="eastAsia" w:ascii="宋体" w:hAnsi="宋体" w:cs="宋体"/>
                <w:color w:val="auto"/>
                <w:szCs w:val="21"/>
                <w:highlight w:val="none"/>
              </w:rPr>
              <w:t>5．固定资产卡片(30年或固定资产报废后5年)</w:t>
            </w:r>
          </w:p>
          <w:p>
            <w:pPr>
              <w:ind w:firstLine="1276"/>
              <w:rPr>
                <w:rFonts w:ascii="宋体" w:hAnsi="宋体" w:cs="宋体"/>
                <w:color w:val="auto"/>
                <w:szCs w:val="21"/>
                <w:highlight w:val="none"/>
              </w:rPr>
            </w:pPr>
            <w:r>
              <w:rPr>
                <w:rFonts w:hint="eastAsia" w:ascii="宋体" w:hAnsi="宋体" w:cs="宋体"/>
                <w:color w:val="auto"/>
                <w:szCs w:val="21"/>
                <w:highlight w:val="none"/>
              </w:rPr>
              <w:t>6．其他辅助账簿（30年）</w:t>
            </w:r>
          </w:p>
          <w:p>
            <w:pPr>
              <w:ind w:firstLine="851"/>
              <w:rPr>
                <w:rFonts w:ascii="宋体" w:hAnsi="宋体" w:cs="宋体"/>
                <w:color w:val="auto"/>
                <w:szCs w:val="21"/>
                <w:highlight w:val="none"/>
              </w:rPr>
            </w:pPr>
            <w:r>
              <w:rPr>
                <w:rFonts w:hint="eastAsia" w:ascii="宋体" w:hAnsi="宋体" w:cs="宋体"/>
                <w:color w:val="auto"/>
                <w:szCs w:val="21"/>
                <w:highlight w:val="none"/>
              </w:rPr>
              <w:t>3 财务会计报告</w:t>
            </w:r>
          </w:p>
          <w:p>
            <w:pPr>
              <w:ind w:firstLine="1276"/>
              <w:rPr>
                <w:rFonts w:ascii="宋体" w:hAnsi="宋体" w:cs="宋体"/>
                <w:color w:val="auto"/>
                <w:szCs w:val="21"/>
                <w:highlight w:val="none"/>
              </w:rPr>
            </w:pPr>
            <w:r>
              <w:rPr>
                <w:rFonts w:hint="eastAsia" w:ascii="宋体" w:hAnsi="宋体" w:cs="宋体"/>
                <w:color w:val="auto"/>
                <w:szCs w:val="21"/>
                <w:highlight w:val="none"/>
              </w:rPr>
              <w:t xml:space="preserve">1．年度财务会计报告（决算）（永久）   </w:t>
            </w:r>
          </w:p>
          <w:p>
            <w:pPr>
              <w:ind w:firstLine="1276"/>
              <w:rPr>
                <w:rFonts w:ascii="宋体" w:hAnsi="宋体" w:cs="宋体"/>
                <w:color w:val="auto"/>
                <w:szCs w:val="21"/>
                <w:highlight w:val="none"/>
              </w:rPr>
            </w:pPr>
            <w:r>
              <w:rPr>
                <w:rFonts w:hint="eastAsia" w:ascii="宋体" w:hAnsi="宋体" w:cs="宋体"/>
                <w:color w:val="auto"/>
                <w:szCs w:val="21"/>
                <w:highlight w:val="none"/>
              </w:rPr>
              <w:t>2．月、季度、半年财务会计报告（10年）</w:t>
            </w:r>
          </w:p>
          <w:p>
            <w:pPr>
              <w:ind w:firstLine="851"/>
              <w:rPr>
                <w:rFonts w:ascii="宋体" w:hAnsi="宋体" w:cs="宋体"/>
                <w:color w:val="auto"/>
                <w:szCs w:val="21"/>
                <w:highlight w:val="none"/>
              </w:rPr>
            </w:pPr>
            <w:r>
              <w:rPr>
                <w:rFonts w:hint="eastAsia" w:ascii="宋体" w:hAnsi="宋体" w:cs="宋体"/>
                <w:color w:val="auto"/>
                <w:szCs w:val="21"/>
                <w:highlight w:val="none"/>
              </w:rPr>
              <w:t>4其他会计资料</w:t>
            </w:r>
          </w:p>
          <w:p>
            <w:pPr>
              <w:ind w:firstLine="1276"/>
              <w:rPr>
                <w:rFonts w:ascii="宋体" w:hAnsi="宋体" w:cs="宋体"/>
                <w:color w:val="auto"/>
                <w:szCs w:val="21"/>
                <w:highlight w:val="none"/>
              </w:rPr>
            </w:pPr>
            <w:r>
              <w:rPr>
                <w:rFonts w:hint="eastAsia" w:ascii="宋体" w:hAnsi="宋体" w:cs="宋体"/>
                <w:color w:val="auto"/>
                <w:szCs w:val="21"/>
                <w:highlight w:val="none"/>
              </w:rPr>
              <w:t>1．年度内部控制评价报告（永久）</w:t>
            </w:r>
          </w:p>
          <w:p>
            <w:pPr>
              <w:ind w:firstLine="1276"/>
              <w:rPr>
                <w:rFonts w:ascii="宋体" w:hAnsi="宋体" w:cs="宋体"/>
                <w:color w:val="auto"/>
                <w:szCs w:val="21"/>
                <w:highlight w:val="none"/>
              </w:rPr>
            </w:pPr>
            <w:r>
              <w:rPr>
                <w:rFonts w:hint="eastAsia" w:ascii="宋体" w:hAnsi="宋体" w:cs="宋体"/>
                <w:color w:val="auto"/>
                <w:szCs w:val="21"/>
                <w:highlight w:val="none"/>
              </w:rPr>
              <w:t>2．年度内部控制审计报告（永久）</w:t>
            </w:r>
          </w:p>
          <w:p>
            <w:pPr>
              <w:ind w:firstLine="1276"/>
              <w:rPr>
                <w:rFonts w:ascii="宋体" w:hAnsi="宋体" w:cs="宋体"/>
                <w:color w:val="auto"/>
                <w:szCs w:val="21"/>
                <w:highlight w:val="none"/>
              </w:rPr>
            </w:pPr>
            <w:r>
              <w:rPr>
                <w:rFonts w:hint="eastAsia" w:ascii="宋体" w:hAnsi="宋体" w:cs="宋体"/>
                <w:color w:val="auto"/>
                <w:szCs w:val="21"/>
                <w:highlight w:val="none"/>
              </w:rPr>
              <w:t>3．会计档案保管清册（永久）</w:t>
            </w:r>
          </w:p>
          <w:p>
            <w:pPr>
              <w:ind w:firstLine="1276"/>
              <w:rPr>
                <w:rFonts w:ascii="宋体" w:hAnsi="宋体" w:cs="宋体"/>
                <w:color w:val="auto"/>
                <w:szCs w:val="21"/>
                <w:highlight w:val="none"/>
              </w:rPr>
            </w:pPr>
            <w:r>
              <w:rPr>
                <w:rFonts w:hint="eastAsia" w:ascii="宋体" w:hAnsi="宋体" w:cs="宋体"/>
                <w:color w:val="auto"/>
                <w:szCs w:val="21"/>
                <w:highlight w:val="none"/>
              </w:rPr>
              <w:t>4．会计档案销毁清册（永久）</w:t>
            </w:r>
          </w:p>
          <w:p>
            <w:pPr>
              <w:ind w:firstLine="1276"/>
              <w:rPr>
                <w:rFonts w:ascii="宋体" w:hAnsi="宋体" w:cs="宋体"/>
                <w:color w:val="auto"/>
                <w:szCs w:val="21"/>
                <w:highlight w:val="none"/>
              </w:rPr>
            </w:pPr>
            <w:r>
              <w:rPr>
                <w:rFonts w:hint="eastAsia" w:ascii="宋体" w:hAnsi="宋体" w:cs="宋体"/>
                <w:color w:val="auto"/>
                <w:szCs w:val="21"/>
                <w:highlight w:val="none"/>
              </w:rPr>
              <w:t>5．会计档案移交清册（30年）</w:t>
            </w:r>
          </w:p>
          <w:p>
            <w:pPr>
              <w:ind w:firstLine="1276"/>
              <w:rPr>
                <w:rFonts w:ascii="宋体" w:hAnsi="宋体" w:cs="宋体"/>
                <w:color w:val="auto"/>
                <w:szCs w:val="21"/>
                <w:highlight w:val="none"/>
              </w:rPr>
            </w:pPr>
            <w:r>
              <w:rPr>
                <w:rFonts w:hint="eastAsia" w:ascii="宋体" w:hAnsi="宋体" w:cs="宋体"/>
                <w:color w:val="auto"/>
                <w:szCs w:val="21"/>
                <w:highlight w:val="none"/>
              </w:rPr>
              <w:t>6．银行余额调节表（10年）</w:t>
            </w:r>
          </w:p>
          <w:p>
            <w:pPr>
              <w:ind w:firstLine="1274" w:firstLineChars="607"/>
              <w:rPr>
                <w:rFonts w:ascii="宋体" w:hAnsi="宋体" w:cs="宋体"/>
                <w:color w:val="auto"/>
                <w:szCs w:val="21"/>
                <w:highlight w:val="none"/>
              </w:rPr>
            </w:pPr>
            <w:r>
              <w:rPr>
                <w:rFonts w:hint="eastAsia" w:ascii="宋体" w:hAnsi="宋体" w:cs="宋体"/>
                <w:color w:val="auto"/>
                <w:szCs w:val="21"/>
                <w:highlight w:val="none"/>
              </w:rPr>
              <w:t>7．银行对账单（10年）</w:t>
            </w:r>
          </w:p>
          <w:p>
            <w:pPr>
              <w:ind w:firstLine="319" w:firstLineChars="152"/>
              <w:rPr>
                <w:color w:val="auto"/>
                <w:szCs w:val="21"/>
                <w:highlight w:val="none"/>
              </w:rPr>
            </w:pPr>
            <w:r>
              <w:rPr>
                <w:rFonts w:hint="eastAsia" w:ascii="宋体" w:hAnsi="宋体" w:cs="宋体"/>
                <w:color w:val="auto"/>
                <w:szCs w:val="21"/>
                <w:highlight w:val="none"/>
              </w:rPr>
              <w:t>本分类方法适用于单位预算会计。</w:t>
            </w:r>
          </w:p>
        </w:tc>
      </w:tr>
    </w:tbl>
    <w:p>
      <w:pPr>
        <w:ind w:firstLine="373" w:firstLineChars="178"/>
        <w:rPr>
          <w:color w:val="auto"/>
          <w:szCs w:val="21"/>
          <w:highlight w:val="none"/>
        </w:rPr>
      </w:pPr>
      <w:r>
        <w:rPr>
          <w:rFonts w:hint="eastAsia" w:ascii="宋体" w:hAnsi="宋体" w:cs="宋体"/>
          <w:color w:val="auto"/>
          <w:szCs w:val="21"/>
          <w:highlight w:val="none"/>
        </w:rPr>
        <w:t>c）会计年度—组织机构—会计文件形式—保管期限分类法</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480"/>
              <w:rPr>
                <w:rFonts w:hint="eastAsia" w:ascii="宋体" w:hAnsi="宋体" w:cs="宋体"/>
                <w:color w:val="auto"/>
                <w:szCs w:val="21"/>
                <w:highlight w:val="none"/>
              </w:rPr>
            </w:pPr>
            <w:r>
              <w:rPr>
                <w:rFonts w:hint="eastAsia" w:ascii="宋体" w:hAnsi="宋体" w:cs="宋体"/>
                <w:color w:val="auto"/>
                <w:szCs w:val="21"/>
                <w:highlight w:val="none"/>
              </w:rPr>
              <w:t>具体分类方法如下：</w:t>
            </w:r>
          </w:p>
          <w:p>
            <w:pPr>
              <w:ind w:firstLine="480"/>
              <w:rPr>
                <w:rFonts w:ascii="宋体" w:hAnsi="宋体" w:cs="宋体"/>
                <w:color w:val="auto"/>
                <w:szCs w:val="21"/>
                <w:highlight w:val="none"/>
              </w:rPr>
            </w:pPr>
            <w:r>
              <w:rPr>
                <w:rFonts w:hint="eastAsia" w:ascii="宋体" w:hAnsi="宋体" w:cs="宋体"/>
                <w:color w:val="auto"/>
                <w:szCs w:val="21"/>
                <w:highlight w:val="none"/>
              </w:rPr>
              <w:t>2009年</w:t>
            </w:r>
          </w:p>
          <w:p>
            <w:pPr>
              <w:ind w:firstLine="851"/>
              <w:rPr>
                <w:rFonts w:ascii="宋体" w:hAnsi="宋体" w:cs="宋体"/>
                <w:color w:val="auto"/>
                <w:szCs w:val="21"/>
                <w:highlight w:val="none"/>
              </w:rPr>
            </w:pPr>
            <w:r>
              <w:rPr>
                <w:rFonts w:hint="eastAsia" w:ascii="宋体" w:hAnsi="宋体" w:cs="宋体"/>
                <w:color w:val="auto"/>
                <w:szCs w:val="21"/>
                <w:highlight w:val="none"/>
              </w:rPr>
              <w:t>1国库处</w:t>
            </w:r>
          </w:p>
          <w:p>
            <w:pPr>
              <w:ind w:firstLine="1276"/>
              <w:rPr>
                <w:rFonts w:ascii="宋体" w:hAnsi="宋体" w:cs="宋体"/>
                <w:color w:val="auto"/>
                <w:szCs w:val="21"/>
                <w:highlight w:val="none"/>
              </w:rPr>
            </w:pPr>
            <w:r>
              <w:rPr>
                <w:rFonts w:hint="eastAsia" w:ascii="宋体" w:hAnsi="宋体" w:cs="宋体"/>
                <w:color w:val="auto"/>
                <w:szCs w:val="21"/>
                <w:highlight w:val="none"/>
              </w:rPr>
              <w:t>1．会计凭证（30年）</w:t>
            </w:r>
          </w:p>
          <w:p>
            <w:pPr>
              <w:ind w:firstLine="1276"/>
              <w:rPr>
                <w:rFonts w:ascii="宋体" w:hAnsi="宋体" w:cs="宋体"/>
                <w:color w:val="auto"/>
                <w:szCs w:val="21"/>
                <w:highlight w:val="none"/>
              </w:rPr>
            </w:pPr>
            <w:r>
              <w:rPr>
                <w:rFonts w:hint="eastAsia" w:ascii="宋体" w:hAnsi="宋体" w:cs="宋体"/>
                <w:color w:val="auto"/>
                <w:szCs w:val="21"/>
                <w:highlight w:val="none"/>
              </w:rPr>
              <w:t>2．会计账簿（30年）</w:t>
            </w:r>
          </w:p>
          <w:p>
            <w:pPr>
              <w:ind w:firstLine="1985"/>
              <w:rPr>
                <w:rFonts w:ascii="宋体" w:hAnsi="宋体" w:cs="宋体"/>
                <w:color w:val="auto"/>
                <w:szCs w:val="21"/>
                <w:highlight w:val="none"/>
              </w:rPr>
            </w:pPr>
            <w:r>
              <w:rPr>
                <w:rFonts w:hint="eastAsia" w:ascii="宋体" w:hAnsi="宋体" w:cs="宋体"/>
                <w:color w:val="auto"/>
                <w:szCs w:val="21"/>
                <w:highlight w:val="none"/>
              </w:rPr>
              <w:t>银行存款日记账（30年）</w:t>
            </w:r>
          </w:p>
          <w:p>
            <w:pPr>
              <w:ind w:firstLine="1985"/>
              <w:rPr>
                <w:rFonts w:ascii="宋体" w:hAnsi="宋体" w:cs="宋体"/>
                <w:color w:val="auto"/>
                <w:szCs w:val="21"/>
                <w:highlight w:val="none"/>
              </w:rPr>
            </w:pPr>
            <w:r>
              <w:rPr>
                <w:rFonts w:hint="eastAsia" w:ascii="宋体" w:hAnsi="宋体" w:cs="宋体"/>
                <w:color w:val="auto"/>
                <w:szCs w:val="21"/>
                <w:highlight w:val="none"/>
              </w:rPr>
              <w:t>现金日记账（30年）</w:t>
            </w:r>
          </w:p>
          <w:p>
            <w:pPr>
              <w:ind w:firstLine="1985"/>
              <w:rPr>
                <w:rFonts w:ascii="宋体" w:hAnsi="宋体" w:cs="宋体"/>
                <w:color w:val="auto"/>
                <w:szCs w:val="21"/>
                <w:highlight w:val="none"/>
              </w:rPr>
            </w:pPr>
            <w:r>
              <w:rPr>
                <w:rFonts w:hint="eastAsia" w:ascii="宋体" w:hAnsi="宋体" w:cs="宋体"/>
                <w:color w:val="auto"/>
                <w:szCs w:val="21"/>
                <w:highlight w:val="none"/>
              </w:rPr>
              <w:t>总    账（30年）</w:t>
            </w:r>
          </w:p>
          <w:p>
            <w:pPr>
              <w:ind w:firstLine="1985"/>
              <w:rPr>
                <w:rFonts w:ascii="宋体" w:hAnsi="宋体" w:cs="宋体"/>
                <w:color w:val="auto"/>
                <w:szCs w:val="21"/>
                <w:highlight w:val="none"/>
              </w:rPr>
            </w:pPr>
            <w:r>
              <w:rPr>
                <w:rFonts w:hint="eastAsia" w:ascii="宋体" w:hAnsi="宋体" w:cs="宋体"/>
                <w:color w:val="auto"/>
                <w:szCs w:val="21"/>
                <w:highlight w:val="none"/>
              </w:rPr>
              <w:t>明细分类账（30年）</w:t>
            </w:r>
          </w:p>
          <w:p>
            <w:pPr>
              <w:ind w:firstLine="1985"/>
              <w:rPr>
                <w:rFonts w:ascii="宋体" w:hAnsi="宋体" w:cs="宋体"/>
                <w:color w:val="auto"/>
                <w:szCs w:val="21"/>
                <w:highlight w:val="none"/>
              </w:rPr>
            </w:pPr>
            <w:r>
              <w:rPr>
                <w:rFonts w:hint="eastAsia" w:ascii="宋体" w:hAnsi="宋体" w:cs="宋体"/>
                <w:color w:val="auto"/>
                <w:szCs w:val="21"/>
                <w:highlight w:val="none"/>
              </w:rPr>
              <w:t>固定资产卡片（30年或固定资产报废后5年）</w:t>
            </w:r>
          </w:p>
          <w:p>
            <w:pPr>
              <w:ind w:firstLine="1985"/>
              <w:rPr>
                <w:rFonts w:ascii="宋体" w:hAnsi="宋体" w:cs="宋体"/>
                <w:color w:val="auto"/>
                <w:szCs w:val="21"/>
                <w:highlight w:val="none"/>
              </w:rPr>
            </w:pPr>
            <w:r>
              <w:rPr>
                <w:rFonts w:hint="eastAsia" w:ascii="宋体" w:hAnsi="宋体" w:cs="宋体"/>
                <w:color w:val="auto"/>
                <w:szCs w:val="21"/>
                <w:highlight w:val="none"/>
              </w:rPr>
              <w:t>其他辅助账簿（30年）</w:t>
            </w:r>
          </w:p>
          <w:p>
            <w:pPr>
              <w:ind w:firstLine="1276"/>
              <w:rPr>
                <w:rFonts w:ascii="宋体" w:hAnsi="宋体" w:cs="宋体"/>
                <w:color w:val="auto"/>
                <w:szCs w:val="21"/>
                <w:highlight w:val="none"/>
              </w:rPr>
            </w:pPr>
            <w:r>
              <w:rPr>
                <w:rFonts w:hint="eastAsia" w:ascii="宋体" w:hAnsi="宋体" w:cs="宋体"/>
                <w:color w:val="auto"/>
                <w:szCs w:val="21"/>
                <w:highlight w:val="none"/>
              </w:rPr>
              <w:t xml:space="preserve">3．财务会计报告  </w:t>
            </w:r>
          </w:p>
          <w:p>
            <w:pPr>
              <w:ind w:firstLine="1985"/>
              <w:rPr>
                <w:rFonts w:ascii="宋体" w:hAnsi="宋体" w:cs="宋体"/>
                <w:color w:val="auto"/>
                <w:szCs w:val="21"/>
                <w:highlight w:val="none"/>
              </w:rPr>
            </w:pPr>
            <w:r>
              <w:rPr>
                <w:rFonts w:hint="eastAsia" w:ascii="宋体" w:hAnsi="宋体" w:cs="宋体"/>
                <w:color w:val="auto"/>
                <w:szCs w:val="21"/>
                <w:highlight w:val="none"/>
              </w:rPr>
              <w:t>年财务会计报告（决算）（永久）</w:t>
            </w:r>
          </w:p>
          <w:p>
            <w:pPr>
              <w:ind w:firstLine="1985"/>
              <w:rPr>
                <w:rFonts w:ascii="宋体" w:hAnsi="宋体" w:cs="宋体"/>
                <w:color w:val="auto"/>
                <w:szCs w:val="21"/>
                <w:highlight w:val="none"/>
              </w:rPr>
            </w:pPr>
            <w:r>
              <w:rPr>
                <w:rFonts w:hint="eastAsia" w:ascii="宋体" w:hAnsi="宋体" w:cs="宋体"/>
                <w:color w:val="auto"/>
                <w:szCs w:val="21"/>
                <w:highlight w:val="none"/>
              </w:rPr>
              <w:t>月、季度、半年财务会计报告（10年）</w:t>
            </w:r>
          </w:p>
          <w:p>
            <w:pPr>
              <w:ind w:firstLine="1276"/>
              <w:rPr>
                <w:rFonts w:ascii="宋体" w:hAnsi="宋体" w:cs="宋体"/>
                <w:color w:val="auto"/>
                <w:szCs w:val="21"/>
                <w:highlight w:val="none"/>
              </w:rPr>
            </w:pPr>
            <w:r>
              <w:rPr>
                <w:rFonts w:hint="eastAsia" w:ascii="宋体" w:hAnsi="宋体" w:cs="宋体"/>
                <w:color w:val="auto"/>
                <w:szCs w:val="21"/>
                <w:highlight w:val="none"/>
              </w:rPr>
              <w:t>4．其他会计资料</w:t>
            </w:r>
          </w:p>
          <w:p>
            <w:pPr>
              <w:ind w:firstLine="1985"/>
              <w:rPr>
                <w:rFonts w:ascii="宋体" w:hAnsi="宋体" w:cs="宋体"/>
                <w:color w:val="auto"/>
                <w:szCs w:val="21"/>
                <w:highlight w:val="none"/>
              </w:rPr>
            </w:pPr>
            <w:r>
              <w:rPr>
                <w:rFonts w:hint="eastAsia" w:ascii="宋体" w:hAnsi="宋体" w:cs="宋体"/>
                <w:color w:val="auto"/>
                <w:szCs w:val="21"/>
                <w:highlight w:val="none"/>
              </w:rPr>
              <w:t>会计档案保管清册（永久）</w:t>
            </w:r>
          </w:p>
          <w:p>
            <w:pPr>
              <w:ind w:firstLine="1985"/>
              <w:rPr>
                <w:rFonts w:ascii="宋体" w:hAnsi="宋体" w:cs="宋体"/>
                <w:color w:val="auto"/>
                <w:szCs w:val="21"/>
                <w:highlight w:val="none"/>
              </w:rPr>
            </w:pPr>
            <w:r>
              <w:rPr>
                <w:rFonts w:hint="eastAsia" w:ascii="宋体" w:hAnsi="宋体" w:cs="宋体"/>
                <w:color w:val="auto"/>
                <w:szCs w:val="21"/>
                <w:highlight w:val="none"/>
              </w:rPr>
              <w:t>会计档案销毁清册（永久）</w:t>
            </w:r>
          </w:p>
          <w:p>
            <w:pPr>
              <w:ind w:firstLine="1985"/>
              <w:rPr>
                <w:rFonts w:ascii="宋体" w:hAnsi="宋体" w:cs="宋体"/>
                <w:color w:val="auto"/>
                <w:szCs w:val="21"/>
                <w:highlight w:val="none"/>
              </w:rPr>
            </w:pPr>
            <w:r>
              <w:rPr>
                <w:rFonts w:hint="eastAsia" w:ascii="宋体" w:hAnsi="宋体" w:cs="宋体"/>
                <w:color w:val="auto"/>
                <w:szCs w:val="21"/>
                <w:highlight w:val="none"/>
              </w:rPr>
              <w:t>会计档案移交清册（30年）</w:t>
            </w:r>
          </w:p>
          <w:p>
            <w:pPr>
              <w:ind w:firstLine="1985"/>
              <w:rPr>
                <w:rFonts w:ascii="宋体" w:hAnsi="宋体" w:cs="宋体"/>
                <w:color w:val="auto"/>
                <w:szCs w:val="21"/>
                <w:highlight w:val="none"/>
              </w:rPr>
            </w:pPr>
            <w:r>
              <w:rPr>
                <w:rFonts w:hint="eastAsia" w:ascii="宋体" w:hAnsi="宋体" w:cs="宋体"/>
                <w:color w:val="auto"/>
                <w:szCs w:val="21"/>
                <w:highlight w:val="none"/>
              </w:rPr>
              <w:t>银行余额调节表（10年）</w:t>
            </w:r>
          </w:p>
          <w:p>
            <w:pPr>
              <w:ind w:firstLine="1985"/>
              <w:rPr>
                <w:rFonts w:ascii="宋体" w:hAnsi="宋体" w:cs="宋体"/>
                <w:color w:val="auto"/>
                <w:szCs w:val="21"/>
                <w:highlight w:val="none"/>
              </w:rPr>
            </w:pPr>
            <w:r>
              <w:rPr>
                <w:rFonts w:hint="eastAsia" w:ascii="宋体" w:hAnsi="宋体" w:cs="宋体"/>
                <w:color w:val="auto"/>
                <w:szCs w:val="21"/>
                <w:highlight w:val="none"/>
              </w:rPr>
              <w:t>银行对账单（10年）</w:t>
            </w:r>
          </w:p>
          <w:p>
            <w:pPr>
              <w:ind w:firstLine="851"/>
              <w:rPr>
                <w:rFonts w:ascii="宋体" w:hAnsi="宋体" w:cs="宋体"/>
                <w:color w:val="auto"/>
                <w:szCs w:val="21"/>
                <w:highlight w:val="none"/>
              </w:rPr>
            </w:pPr>
            <w:r>
              <w:rPr>
                <w:rFonts w:hint="eastAsia" w:ascii="宋体" w:hAnsi="宋体" w:cs="宋体"/>
                <w:color w:val="auto"/>
                <w:szCs w:val="21"/>
                <w:highlight w:val="none"/>
              </w:rPr>
              <w:t>2预算处</w:t>
            </w:r>
          </w:p>
          <w:p>
            <w:pPr>
              <w:ind w:firstLine="1276"/>
              <w:rPr>
                <w:rFonts w:ascii="宋体" w:hAnsi="宋体" w:cs="宋体"/>
                <w:color w:val="auto"/>
                <w:szCs w:val="21"/>
                <w:highlight w:val="none"/>
              </w:rPr>
            </w:pPr>
            <w:r>
              <w:rPr>
                <w:rFonts w:hint="eastAsia" w:ascii="宋体" w:hAnsi="宋体" w:cs="宋体"/>
                <w:color w:val="auto"/>
                <w:szCs w:val="21"/>
                <w:highlight w:val="none"/>
              </w:rPr>
              <w:t>会计凭证  ……</w:t>
            </w:r>
          </w:p>
          <w:p>
            <w:pPr>
              <w:ind w:firstLine="1276"/>
              <w:rPr>
                <w:rFonts w:ascii="宋体" w:hAnsi="宋体" w:cs="宋体"/>
                <w:color w:val="auto"/>
                <w:szCs w:val="21"/>
                <w:highlight w:val="none"/>
              </w:rPr>
            </w:pPr>
            <w:r>
              <w:rPr>
                <w:rFonts w:hint="eastAsia" w:ascii="宋体" w:hAnsi="宋体" w:cs="宋体"/>
                <w:color w:val="auto"/>
                <w:szCs w:val="21"/>
                <w:highlight w:val="none"/>
              </w:rPr>
              <w:t>会计账簿  ……</w:t>
            </w:r>
          </w:p>
          <w:p>
            <w:pPr>
              <w:ind w:firstLine="1276"/>
              <w:rPr>
                <w:rFonts w:ascii="宋体" w:hAnsi="宋体" w:cs="宋体"/>
                <w:color w:val="auto"/>
                <w:szCs w:val="21"/>
                <w:highlight w:val="none"/>
              </w:rPr>
            </w:pPr>
            <w:r>
              <w:rPr>
                <w:rFonts w:hint="eastAsia" w:ascii="宋体" w:hAnsi="宋体" w:cs="宋体"/>
                <w:color w:val="auto"/>
                <w:szCs w:val="21"/>
                <w:highlight w:val="none"/>
              </w:rPr>
              <w:t>财务会计报告  ……</w:t>
            </w:r>
          </w:p>
          <w:p>
            <w:pPr>
              <w:ind w:firstLine="1276"/>
              <w:rPr>
                <w:rFonts w:ascii="宋体" w:hAnsi="宋体" w:cs="宋体"/>
                <w:color w:val="auto"/>
                <w:szCs w:val="21"/>
                <w:highlight w:val="none"/>
              </w:rPr>
            </w:pPr>
            <w:r>
              <w:rPr>
                <w:rFonts w:hint="eastAsia" w:ascii="宋体" w:hAnsi="宋体" w:cs="宋体"/>
                <w:color w:val="auto"/>
                <w:szCs w:val="21"/>
                <w:highlight w:val="none"/>
              </w:rPr>
              <w:t>其他会计资料  ……</w:t>
            </w:r>
          </w:p>
          <w:p>
            <w:pPr>
              <w:ind w:firstLine="851"/>
              <w:rPr>
                <w:rFonts w:ascii="宋体" w:hAnsi="宋体" w:cs="宋体"/>
                <w:color w:val="auto"/>
                <w:szCs w:val="21"/>
                <w:highlight w:val="none"/>
              </w:rPr>
            </w:pPr>
            <w:r>
              <w:rPr>
                <w:rFonts w:hint="eastAsia" w:ascii="宋体" w:hAnsi="宋体" w:cs="宋体"/>
                <w:color w:val="auto"/>
                <w:szCs w:val="21"/>
                <w:highlight w:val="none"/>
              </w:rPr>
              <w:t>3会计处</w:t>
            </w:r>
          </w:p>
          <w:p>
            <w:pPr>
              <w:ind w:firstLine="1276"/>
              <w:rPr>
                <w:rFonts w:ascii="宋体" w:hAnsi="宋体" w:cs="宋体"/>
                <w:color w:val="auto"/>
                <w:szCs w:val="21"/>
                <w:highlight w:val="none"/>
              </w:rPr>
            </w:pPr>
            <w:r>
              <w:rPr>
                <w:rFonts w:hint="eastAsia" w:ascii="宋体" w:hAnsi="宋体" w:cs="宋体"/>
                <w:color w:val="auto"/>
                <w:szCs w:val="21"/>
                <w:highlight w:val="none"/>
              </w:rPr>
              <w:t>财务会计报告  ……</w:t>
            </w:r>
          </w:p>
          <w:p>
            <w:pPr>
              <w:ind w:firstLine="1276"/>
              <w:rPr>
                <w:rFonts w:ascii="宋体" w:hAnsi="宋体" w:cs="宋体"/>
                <w:color w:val="auto"/>
                <w:szCs w:val="21"/>
                <w:highlight w:val="none"/>
              </w:rPr>
            </w:pPr>
            <w:r>
              <w:rPr>
                <w:rFonts w:hint="eastAsia" w:ascii="宋体" w:hAnsi="宋体" w:cs="宋体"/>
                <w:color w:val="auto"/>
                <w:szCs w:val="21"/>
                <w:highlight w:val="none"/>
              </w:rPr>
              <w:t>其他会计资料  ……</w:t>
            </w:r>
          </w:p>
          <w:p>
            <w:pPr>
              <w:ind w:firstLine="480"/>
              <w:rPr>
                <w:rFonts w:ascii="宋体" w:hAnsi="宋体" w:cs="宋体"/>
                <w:color w:val="auto"/>
                <w:szCs w:val="21"/>
                <w:highlight w:val="none"/>
              </w:rPr>
            </w:pPr>
            <w:r>
              <w:rPr>
                <w:rFonts w:hint="eastAsia" w:ascii="宋体" w:hAnsi="宋体" w:cs="宋体"/>
                <w:color w:val="auto"/>
                <w:szCs w:val="21"/>
                <w:highlight w:val="none"/>
              </w:rPr>
              <w:t>2010年  ……</w:t>
            </w:r>
          </w:p>
          <w:p>
            <w:pPr>
              <w:ind w:firstLine="424" w:firstLineChars="202"/>
              <w:rPr>
                <w:color w:val="auto"/>
                <w:szCs w:val="21"/>
                <w:highlight w:val="none"/>
              </w:rPr>
            </w:pPr>
            <w:r>
              <w:rPr>
                <w:rFonts w:hint="eastAsia" w:ascii="宋体" w:hAnsi="宋体" w:cs="宋体"/>
                <w:color w:val="auto"/>
                <w:szCs w:val="21"/>
                <w:highlight w:val="none"/>
              </w:rPr>
              <w:t>本方法适用于多个部门产生会计档案的单位以及各级总预算会计单位。</w:t>
            </w:r>
          </w:p>
        </w:tc>
      </w:tr>
    </w:tbl>
    <w:p>
      <w:pPr>
        <w:ind w:firstLine="373" w:firstLineChars="178"/>
        <w:rPr>
          <w:rFonts w:ascii="宋体" w:hAnsi="宋体" w:cs="宋体"/>
          <w:color w:val="auto"/>
          <w:szCs w:val="21"/>
          <w:highlight w:val="none"/>
        </w:rPr>
      </w:pPr>
      <w:r>
        <w:rPr>
          <w:rFonts w:hint="eastAsia" w:ascii="宋体" w:hAnsi="宋体" w:cs="宋体"/>
          <w:color w:val="auto"/>
          <w:szCs w:val="21"/>
          <w:highlight w:val="none"/>
        </w:rPr>
        <w:t>d）会计年度—会计类型—会计文件形式—保管期限分类法</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424" w:firstLineChars="202"/>
              <w:rPr>
                <w:rFonts w:ascii="宋体" w:hAnsi="宋体" w:cs="宋体"/>
                <w:color w:val="auto"/>
                <w:szCs w:val="21"/>
                <w:highlight w:val="none"/>
              </w:rPr>
            </w:pPr>
            <w:r>
              <w:rPr>
                <w:rFonts w:hint="eastAsia" w:ascii="宋体" w:hAnsi="宋体" w:cs="宋体"/>
                <w:color w:val="auto"/>
                <w:szCs w:val="21"/>
                <w:highlight w:val="none"/>
              </w:rPr>
              <w:t>具体分类方法如下：</w:t>
            </w:r>
          </w:p>
          <w:p>
            <w:pPr>
              <w:ind w:firstLine="480"/>
              <w:rPr>
                <w:rFonts w:ascii="宋体" w:hAnsi="宋体" w:cs="宋体"/>
                <w:color w:val="auto"/>
                <w:szCs w:val="21"/>
                <w:highlight w:val="none"/>
              </w:rPr>
            </w:pPr>
            <w:r>
              <w:rPr>
                <w:rFonts w:hint="eastAsia" w:ascii="宋体" w:hAnsi="宋体" w:cs="宋体"/>
                <w:color w:val="auto"/>
                <w:szCs w:val="21"/>
                <w:highlight w:val="none"/>
              </w:rPr>
              <w:t>2009年度</w:t>
            </w:r>
          </w:p>
          <w:p>
            <w:pPr>
              <w:ind w:firstLine="851"/>
              <w:rPr>
                <w:rFonts w:ascii="宋体" w:hAnsi="宋体" w:cs="宋体"/>
                <w:color w:val="auto"/>
                <w:szCs w:val="21"/>
                <w:highlight w:val="none"/>
              </w:rPr>
            </w:pPr>
            <w:r>
              <w:rPr>
                <w:rFonts w:hint="eastAsia" w:ascii="宋体" w:hAnsi="宋体" w:cs="宋体"/>
                <w:color w:val="auto"/>
                <w:szCs w:val="21"/>
                <w:highlight w:val="none"/>
              </w:rPr>
              <w:t>1税收会计</w:t>
            </w:r>
          </w:p>
          <w:p>
            <w:pPr>
              <w:ind w:firstLine="1276"/>
              <w:rPr>
                <w:rFonts w:ascii="宋体" w:hAnsi="宋体" w:cs="宋体"/>
                <w:color w:val="auto"/>
                <w:szCs w:val="21"/>
                <w:highlight w:val="none"/>
              </w:rPr>
            </w:pPr>
            <w:r>
              <w:rPr>
                <w:rFonts w:hint="eastAsia" w:ascii="宋体" w:hAnsi="宋体" w:cs="宋体"/>
                <w:color w:val="auto"/>
                <w:szCs w:val="21"/>
                <w:highlight w:val="none"/>
              </w:rPr>
              <w:t>1.会计凭证</w:t>
            </w:r>
          </w:p>
          <w:p>
            <w:pPr>
              <w:ind w:firstLine="1276"/>
              <w:rPr>
                <w:rFonts w:ascii="宋体" w:hAnsi="宋体" w:cs="宋体"/>
                <w:color w:val="auto"/>
                <w:szCs w:val="21"/>
                <w:highlight w:val="none"/>
              </w:rPr>
            </w:pPr>
            <w:r>
              <w:rPr>
                <w:rFonts w:hint="eastAsia" w:ascii="宋体" w:hAnsi="宋体" w:cs="宋体"/>
                <w:color w:val="auto"/>
                <w:szCs w:val="21"/>
                <w:highlight w:val="none"/>
              </w:rPr>
              <w:t>2.会计账簿</w:t>
            </w:r>
          </w:p>
          <w:p>
            <w:pPr>
              <w:ind w:firstLine="1276"/>
              <w:rPr>
                <w:rFonts w:ascii="宋体" w:hAnsi="宋体" w:cs="宋体"/>
                <w:color w:val="auto"/>
                <w:szCs w:val="21"/>
                <w:highlight w:val="none"/>
              </w:rPr>
            </w:pPr>
            <w:r>
              <w:rPr>
                <w:rFonts w:hint="eastAsia" w:ascii="宋体" w:hAnsi="宋体" w:cs="宋体"/>
                <w:color w:val="auto"/>
                <w:szCs w:val="21"/>
                <w:highlight w:val="none"/>
              </w:rPr>
              <w:t>3.财务会计报告</w:t>
            </w:r>
          </w:p>
          <w:p>
            <w:pPr>
              <w:ind w:firstLine="1276"/>
              <w:rPr>
                <w:rFonts w:ascii="宋体" w:hAnsi="宋体" w:cs="宋体"/>
                <w:color w:val="auto"/>
                <w:szCs w:val="21"/>
                <w:highlight w:val="none"/>
              </w:rPr>
            </w:pPr>
            <w:r>
              <w:rPr>
                <w:rFonts w:hint="eastAsia" w:ascii="宋体" w:hAnsi="宋体" w:cs="宋体"/>
                <w:color w:val="auto"/>
                <w:szCs w:val="21"/>
                <w:highlight w:val="none"/>
              </w:rPr>
              <w:t>4.其他会计资料</w:t>
            </w:r>
          </w:p>
          <w:p>
            <w:pPr>
              <w:ind w:firstLine="851"/>
              <w:rPr>
                <w:rFonts w:ascii="宋体" w:hAnsi="宋体" w:cs="宋体"/>
                <w:color w:val="auto"/>
                <w:szCs w:val="21"/>
                <w:highlight w:val="none"/>
              </w:rPr>
            </w:pPr>
            <w:r>
              <w:rPr>
                <w:rFonts w:hint="eastAsia" w:ascii="宋体" w:hAnsi="宋体" w:cs="宋体"/>
                <w:color w:val="auto"/>
                <w:szCs w:val="21"/>
                <w:highlight w:val="none"/>
              </w:rPr>
              <w:t>2经费会计</w:t>
            </w:r>
          </w:p>
          <w:p>
            <w:pPr>
              <w:numPr>
                <w:ilvl w:val="0"/>
                <w:numId w:val="3"/>
              </w:numPr>
              <w:ind w:firstLine="1276"/>
              <w:rPr>
                <w:rFonts w:ascii="宋体" w:hAnsi="宋体" w:cs="宋体"/>
                <w:color w:val="auto"/>
                <w:szCs w:val="21"/>
                <w:highlight w:val="none"/>
              </w:rPr>
            </w:pPr>
            <w:r>
              <w:rPr>
                <w:rFonts w:hint="eastAsia" w:ascii="宋体" w:hAnsi="宋体" w:cs="宋体"/>
                <w:color w:val="auto"/>
                <w:szCs w:val="21"/>
                <w:highlight w:val="none"/>
              </w:rPr>
              <w:t>会计凭证</w:t>
            </w:r>
          </w:p>
          <w:p>
            <w:pPr>
              <w:numPr>
                <w:ilvl w:val="0"/>
                <w:numId w:val="3"/>
              </w:numPr>
              <w:ind w:firstLine="1276"/>
              <w:rPr>
                <w:rFonts w:ascii="宋体" w:hAnsi="宋体" w:cs="宋体"/>
                <w:color w:val="auto"/>
                <w:szCs w:val="21"/>
                <w:highlight w:val="none"/>
              </w:rPr>
            </w:pPr>
            <w:r>
              <w:rPr>
                <w:rFonts w:hint="eastAsia" w:ascii="宋体" w:hAnsi="宋体" w:cs="宋体"/>
                <w:color w:val="auto"/>
                <w:szCs w:val="21"/>
                <w:highlight w:val="none"/>
              </w:rPr>
              <w:t>会计账簿</w:t>
            </w:r>
          </w:p>
          <w:p>
            <w:pPr>
              <w:ind w:firstLine="1276"/>
              <w:rPr>
                <w:rFonts w:ascii="宋体" w:hAnsi="宋体" w:cs="宋体"/>
                <w:color w:val="auto"/>
                <w:szCs w:val="21"/>
                <w:highlight w:val="none"/>
              </w:rPr>
            </w:pPr>
            <w:r>
              <w:rPr>
                <w:rFonts w:hint="eastAsia" w:ascii="宋体" w:hAnsi="宋体" w:cs="宋体"/>
                <w:color w:val="auto"/>
                <w:szCs w:val="21"/>
                <w:highlight w:val="none"/>
              </w:rPr>
              <w:t>3．财务会计报告</w:t>
            </w:r>
          </w:p>
          <w:p>
            <w:pPr>
              <w:ind w:firstLine="1276"/>
              <w:rPr>
                <w:rFonts w:ascii="宋体" w:hAnsi="宋体" w:cs="宋体"/>
                <w:color w:val="auto"/>
                <w:szCs w:val="21"/>
                <w:highlight w:val="none"/>
              </w:rPr>
            </w:pPr>
            <w:r>
              <w:rPr>
                <w:rFonts w:hint="eastAsia" w:ascii="宋体" w:hAnsi="宋体" w:cs="宋体"/>
                <w:color w:val="auto"/>
                <w:szCs w:val="21"/>
                <w:highlight w:val="none"/>
              </w:rPr>
              <w:t>4．其他会计资料</w:t>
            </w:r>
          </w:p>
          <w:p>
            <w:pPr>
              <w:ind w:firstLine="480"/>
              <w:rPr>
                <w:rFonts w:ascii="宋体" w:hAnsi="宋体" w:cs="宋体"/>
                <w:color w:val="auto"/>
                <w:szCs w:val="21"/>
                <w:highlight w:val="none"/>
              </w:rPr>
            </w:pPr>
            <w:r>
              <w:rPr>
                <w:rFonts w:hint="eastAsia" w:ascii="宋体" w:hAnsi="宋体" w:cs="宋体"/>
                <w:color w:val="auto"/>
                <w:szCs w:val="21"/>
                <w:highlight w:val="none"/>
              </w:rPr>
              <w:t xml:space="preserve">2010年度  </w:t>
            </w:r>
          </w:p>
          <w:p>
            <w:pPr>
              <w:ind w:firstLine="851"/>
              <w:rPr>
                <w:rFonts w:ascii="宋体" w:hAnsi="宋体" w:cs="宋体"/>
                <w:color w:val="auto"/>
                <w:szCs w:val="21"/>
                <w:highlight w:val="none"/>
              </w:rPr>
            </w:pPr>
            <w:r>
              <w:rPr>
                <w:rFonts w:hint="eastAsia" w:ascii="宋体" w:hAnsi="宋体" w:cs="宋体"/>
                <w:color w:val="auto"/>
                <w:szCs w:val="21"/>
                <w:highlight w:val="none"/>
              </w:rPr>
              <w:t>……</w:t>
            </w:r>
          </w:p>
          <w:p>
            <w:pPr>
              <w:ind w:firstLine="424" w:firstLineChars="202"/>
              <w:rPr>
                <w:color w:val="auto"/>
                <w:szCs w:val="21"/>
                <w:highlight w:val="none"/>
              </w:rPr>
            </w:pPr>
            <w:r>
              <w:rPr>
                <w:rFonts w:hint="eastAsia" w:ascii="宋体" w:hAnsi="宋体" w:cs="宋体"/>
                <w:color w:val="auto"/>
                <w:szCs w:val="21"/>
                <w:highlight w:val="none"/>
              </w:rPr>
              <w:t>本分类方法适用于专业性强的各级税务机关的会计档案。</w:t>
            </w:r>
          </w:p>
        </w:tc>
      </w:tr>
    </w:tbl>
    <w:p>
      <w:pPr>
        <w:jc w:val="left"/>
        <w:rPr>
          <w:rFonts w:hint="eastAsia" w:eastAsia="宋体"/>
          <w:color w:val="auto"/>
          <w:szCs w:val="21"/>
          <w:highlight w:val="none"/>
          <w:lang w:eastAsia="zh-CN"/>
        </w:rPr>
      </w:pPr>
      <w:bookmarkStart w:id="99" w:name="_Toc38349914"/>
      <w:bookmarkStart w:id="100" w:name="_Toc1838802381"/>
      <w:bookmarkStart w:id="101" w:name="_Toc983860594"/>
      <w:bookmarkStart w:id="102" w:name="_Toc2036102811"/>
      <w:bookmarkStart w:id="103" w:name="_Toc66367006"/>
      <w:r>
        <w:rPr>
          <w:rStyle w:val="68"/>
          <w:rFonts w:hint="eastAsia" w:eastAsia="黑体"/>
          <w:color w:val="auto"/>
          <w:highlight w:val="none"/>
          <w:lang w:val="en-US" w:eastAsia="zh-CN"/>
        </w:rPr>
        <w:t>8</w:t>
      </w:r>
      <w:r>
        <w:rPr>
          <w:rStyle w:val="68"/>
          <w:rFonts w:hint="eastAsia"/>
          <w:color w:val="auto"/>
          <w:highlight w:val="none"/>
        </w:rPr>
        <w:t>.</w:t>
      </w:r>
      <w:r>
        <w:rPr>
          <w:rStyle w:val="68"/>
          <w:rFonts w:hint="eastAsia" w:eastAsia="黑体"/>
          <w:color w:val="auto"/>
          <w:highlight w:val="none"/>
          <w:lang w:val="en-US" w:eastAsia="zh-CN"/>
        </w:rPr>
        <w:t>3</w:t>
      </w:r>
      <w:r>
        <w:rPr>
          <w:rStyle w:val="68"/>
          <w:rFonts w:hint="eastAsia"/>
          <w:color w:val="auto"/>
          <w:highlight w:val="none"/>
        </w:rPr>
        <w:t>.4</w:t>
      </w:r>
      <w:bookmarkEnd w:id="99"/>
      <w:bookmarkEnd w:id="100"/>
      <w:r>
        <w:rPr>
          <w:rStyle w:val="68"/>
          <w:rFonts w:hint="eastAsia"/>
          <w:color w:val="auto"/>
          <w:highlight w:val="none"/>
        </w:rPr>
        <w:t xml:space="preserve"> </w:t>
      </w:r>
      <w:bookmarkEnd w:id="101"/>
      <w:r>
        <w:rPr>
          <w:rFonts w:hint="eastAsia"/>
          <w:color w:val="auto"/>
          <w:szCs w:val="21"/>
          <w:highlight w:val="none"/>
        </w:rPr>
        <w:t>电子会计档案分类号可采用阿拉伯数字、英文字母、汉语拼音字母的一种或两种混合方法设置。上、下级类目编号间可用“</w:t>
      </w:r>
      <w:r>
        <w:rPr>
          <w:rFonts w:hint="eastAsia" w:ascii="宋体" w:hAnsi="宋体"/>
          <w:color w:val="auto"/>
          <w:szCs w:val="21"/>
          <w:highlight w:val="none"/>
        </w:rPr>
        <w:t>·”</w:t>
      </w:r>
      <w:r>
        <w:rPr>
          <w:rFonts w:hint="eastAsia"/>
          <w:color w:val="auto"/>
          <w:szCs w:val="21"/>
          <w:highlight w:val="none"/>
        </w:rPr>
        <w:t>或“—”分隔</w:t>
      </w:r>
      <w:bookmarkEnd w:id="102"/>
      <w:bookmarkEnd w:id="103"/>
      <w:r>
        <w:rPr>
          <w:rFonts w:hint="eastAsia"/>
          <w:color w:val="auto"/>
          <w:szCs w:val="21"/>
          <w:highlight w:val="none"/>
          <w:lang w:eastAsia="zh-CN"/>
        </w:rPr>
        <w:t>。</w:t>
      </w:r>
    </w:p>
    <w:p>
      <w:pPr>
        <w:pStyle w:val="69"/>
        <w:numPr>
          <w:ilvl w:val="2"/>
          <w:numId w:val="0"/>
        </w:numPr>
        <w:spacing w:before="156" w:after="156"/>
        <w:rPr>
          <w:color w:val="auto"/>
          <w:highlight w:val="none"/>
        </w:rPr>
      </w:pPr>
      <w:bookmarkStart w:id="104" w:name="_Toc825277007"/>
      <w:bookmarkStart w:id="105" w:name="_Toc190451317"/>
      <w:bookmarkStart w:id="106" w:name="_Toc66367008"/>
      <w:bookmarkStart w:id="107" w:name="_Toc1127892818"/>
      <w:bookmarkStart w:id="108" w:name="_Toc38349915"/>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4</w:t>
      </w:r>
      <w:r>
        <w:rPr>
          <w:rFonts w:hint="eastAsia"/>
          <w:color w:val="auto"/>
          <w:highlight w:val="none"/>
        </w:rPr>
        <w:t xml:space="preserve"> 电子会计凭证的组件、组卷及排列</w:t>
      </w:r>
      <w:bookmarkEnd w:id="104"/>
      <w:bookmarkEnd w:id="105"/>
      <w:bookmarkEnd w:id="106"/>
      <w:bookmarkEnd w:id="107"/>
      <w:bookmarkEnd w:id="108"/>
    </w:p>
    <w:p>
      <w:pPr>
        <w:outlineLvl w:val="0"/>
        <w:rPr>
          <w:color w:val="auto"/>
          <w:szCs w:val="21"/>
          <w:highlight w:val="none"/>
        </w:rPr>
      </w:pPr>
      <w:bookmarkStart w:id="109" w:name="_Toc66367009"/>
      <w:bookmarkStart w:id="110" w:name="_Toc38349917"/>
      <w:bookmarkStart w:id="111" w:name="_Toc708933568"/>
      <w:bookmarkStart w:id="112" w:name="_Toc99703732"/>
      <w:bookmarkStart w:id="113" w:name="_Toc917648060"/>
      <w:r>
        <w:rPr>
          <w:rStyle w:val="68"/>
          <w:rFonts w:hint="eastAsia" w:eastAsia="黑体"/>
          <w:color w:val="auto"/>
          <w:highlight w:val="none"/>
          <w:lang w:val="en-US" w:eastAsia="zh-CN"/>
        </w:rPr>
        <w:t>8</w:t>
      </w:r>
      <w:r>
        <w:rPr>
          <w:rStyle w:val="68"/>
          <w:rFonts w:hint="eastAsia"/>
          <w:color w:val="auto"/>
          <w:highlight w:val="none"/>
        </w:rPr>
        <w:t>.</w:t>
      </w:r>
      <w:r>
        <w:rPr>
          <w:rStyle w:val="68"/>
          <w:rFonts w:hint="eastAsia" w:eastAsia="黑体"/>
          <w:color w:val="auto"/>
          <w:highlight w:val="none"/>
          <w:lang w:val="en-US" w:eastAsia="zh-CN"/>
        </w:rPr>
        <w:t>4</w:t>
      </w:r>
      <w:r>
        <w:rPr>
          <w:rStyle w:val="68"/>
          <w:rFonts w:hint="eastAsia"/>
          <w:color w:val="auto"/>
          <w:highlight w:val="none"/>
        </w:rPr>
        <w:t xml:space="preserve">.1 </w:t>
      </w:r>
      <w:r>
        <w:rPr>
          <w:rFonts w:hint="eastAsia"/>
          <w:color w:val="auto"/>
          <w:szCs w:val="21"/>
          <w:highlight w:val="none"/>
        </w:rPr>
        <w:t>电子会计凭证按记账凭证号组件，一份记账凭证及其附带的原始凭证、其他附件等组成一件。件内按记账凭证、原始凭证、其他附件的顺序排列。</w:t>
      </w:r>
      <w:bookmarkEnd w:id="109"/>
      <w:bookmarkEnd w:id="110"/>
      <w:bookmarkEnd w:id="111"/>
      <w:bookmarkEnd w:id="112"/>
      <w:bookmarkEnd w:id="113"/>
    </w:p>
    <w:p>
      <w:pPr>
        <w:outlineLvl w:val="0"/>
        <w:rPr>
          <w:color w:val="auto"/>
          <w:szCs w:val="21"/>
          <w:highlight w:val="none"/>
        </w:rPr>
      </w:pPr>
      <w:bookmarkStart w:id="114" w:name="_Toc1375293683"/>
      <w:bookmarkStart w:id="115" w:name="_Toc1046025482"/>
      <w:bookmarkStart w:id="116" w:name="_Toc66367010"/>
      <w:bookmarkStart w:id="117" w:name="_Toc242030691"/>
      <w:bookmarkStart w:id="118" w:name="_Toc38349918"/>
      <w:r>
        <w:rPr>
          <w:rStyle w:val="68"/>
          <w:rFonts w:hint="eastAsia" w:eastAsia="黑体"/>
          <w:color w:val="auto"/>
          <w:highlight w:val="none"/>
          <w:lang w:val="en-US" w:eastAsia="zh-CN"/>
        </w:rPr>
        <w:t>8</w:t>
      </w:r>
      <w:r>
        <w:rPr>
          <w:rStyle w:val="68"/>
          <w:rFonts w:hint="eastAsia"/>
          <w:color w:val="auto"/>
          <w:highlight w:val="none"/>
        </w:rPr>
        <w:t>.</w:t>
      </w:r>
      <w:r>
        <w:rPr>
          <w:rStyle w:val="68"/>
          <w:rFonts w:hint="eastAsia" w:eastAsia="黑体"/>
          <w:color w:val="auto"/>
          <w:highlight w:val="none"/>
          <w:lang w:val="en-US" w:eastAsia="zh-CN"/>
        </w:rPr>
        <w:t>4</w:t>
      </w:r>
      <w:r>
        <w:rPr>
          <w:rStyle w:val="68"/>
          <w:rFonts w:hint="eastAsia"/>
          <w:color w:val="auto"/>
          <w:highlight w:val="none"/>
        </w:rPr>
        <w:t xml:space="preserve">.2 </w:t>
      </w:r>
      <w:r>
        <w:rPr>
          <w:rFonts w:hint="eastAsia"/>
          <w:color w:val="auto"/>
          <w:szCs w:val="21"/>
          <w:highlight w:val="none"/>
        </w:rPr>
        <w:t>电子会计凭证按类型结合时间组卷，即将同一类型的电子会计凭证</w:t>
      </w:r>
      <w:r>
        <w:rPr>
          <w:rFonts w:hint="eastAsia"/>
          <w:color w:val="auto"/>
          <w:szCs w:val="21"/>
          <w:highlight w:val="none"/>
          <w:lang w:eastAsia="zh-CN"/>
        </w:rPr>
        <w:t>按</w:t>
      </w:r>
      <w:r>
        <w:rPr>
          <w:rFonts w:hint="eastAsia"/>
          <w:color w:val="auto"/>
          <w:szCs w:val="21"/>
          <w:highlight w:val="none"/>
        </w:rPr>
        <w:t>一周、一个月、一个季度或一年组成一卷，不同类型的电子会计凭证不得组在同一卷。卷内电子会计凭证按凭证号排列。</w:t>
      </w:r>
      <w:bookmarkEnd w:id="114"/>
      <w:bookmarkEnd w:id="115"/>
      <w:bookmarkEnd w:id="116"/>
      <w:bookmarkEnd w:id="117"/>
      <w:bookmarkEnd w:id="118"/>
    </w:p>
    <w:p>
      <w:pPr>
        <w:rPr>
          <w:color w:val="auto"/>
          <w:szCs w:val="21"/>
          <w:highlight w:val="none"/>
        </w:rPr>
      </w:pPr>
      <w:bookmarkStart w:id="119" w:name="_Toc66367011"/>
      <w:bookmarkStart w:id="120" w:name="_Toc1071212132"/>
      <w:bookmarkStart w:id="121" w:name="_Toc1449248086"/>
      <w:r>
        <w:rPr>
          <w:rStyle w:val="68"/>
          <w:rFonts w:hint="eastAsia" w:eastAsia="黑体"/>
          <w:color w:val="auto"/>
          <w:highlight w:val="none"/>
          <w:lang w:val="en-US" w:eastAsia="zh-CN"/>
        </w:rPr>
        <w:t>8</w:t>
      </w:r>
      <w:r>
        <w:rPr>
          <w:rStyle w:val="68"/>
          <w:rFonts w:hint="eastAsia"/>
          <w:color w:val="auto"/>
          <w:highlight w:val="none"/>
        </w:rPr>
        <w:t>.</w:t>
      </w:r>
      <w:r>
        <w:rPr>
          <w:rStyle w:val="68"/>
          <w:rFonts w:hint="eastAsia" w:eastAsia="黑体"/>
          <w:color w:val="auto"/>
          <w:highlight w:val="none"/>
          <w:lang w:val="en-US" w:eastAsia="zh-CN"/>
        </w:rPr>
        <w:t>4</w:t>
      </w:r>
      <w:r>
        <w:rPr>
          <w:rStyle w:val="68"/>
          <w:rFonts w:hint="eastAsia"/>
          <w:color w:val="auto"/>
          <w:highlight w:val="none"/>
        </w:rPr>
        <w:t>.3</w:t>
      </w:r>
      <w:bookmarkEnd w:id="119"/>
      <w:r>
        <w:rPr>
          <w:rStyle w:val="68"/>
          <w:rFonts w:hint="eastAsia"/>
          <w:color w:val="auto"/>
          <w:highlight w:val="none"/>
        </w:rPr>
        <w:t xml:space="preserve"> </w:t>
      </w:r>
      <w:bookmarkEnd w:id="120"/>
      <w:bookmarkEnd w:id="121"/>
      <w:r>
        <w:rPr>
          <w:rFonts w:hint="eastAsia"/>
          <w:color w:val="auto"/>
          <w:szCs w:val="21"/>
          <w:highlight w:val="none"/>
        </w:rPr>
        <w:t>同一类型电子会计凭证案卷按时间先后顺序排列，不同类型间电子会计凭证案卷按类型序号或分类号排列。</w:t>
      </w:r>
    </w:p>
    <w:p>
      <w:pPr>
        <w:outlineLvl w:val="0"/>
        <w:rPr>
          <w:color w:val="auto"/>
          <w:szCs w:val="21"/>
          <w:highlight w:val="none"/>
        </w:rPr>
      </w:pPr>
      <w:bookmarkStart w:id="122" w:name="_Toc916005197"/>
      <w:bookmarkStart w:id="123" w:name="_Toc38349919"/>
      <w:bookmarkStart w:id="124" w:name="_Toc1464000089"/>
      <w:bookmarkStart w:id="125" w:name="_Toc567228075"/>
      <w:bookmarkStart w:id="126" w:name="_Toc66367012"/>
      <w:r>
        <w:rPr>
          <w:rStyle w:val="68"/>
          <w:rFonts w:hint="eastAsia" w:eastAsia="黑体"/>
          <w:color w:val="auto"/>
          <w:highlight w:val="none"/>
          <w:lang w:val="en-US" w:eastAsia="zh-CN"/>
        </w:rPr>
        <w:t>8</w:t>
      </w:r>
      <w:r>
        <w:rPr>
          <w:rStyle w:val="68"/>
          <w:rFonts w:hint="eastAsia"/>
          <w:color w:val="auto"/>
          <w:highlight w:val="none"/>
        </w:rPr>
        <w:t>.</w:t>
      </w:r>
      <w:r>
        <w:rPr>
          <w:rStyle w:val="68"/>
          <w:rFonts w:hint="eastAsia" w:eastAsia="黑体"/>
          <w:color w:val="auto"/>
          <w:highlight w:val="none"/>
          <w:lang w:val="en-US" w:eastAsia="zh-CN"/>
        </w:rPr>
        <w:t>4</w:t>
      </w:r>
      <w:r>
        <w:rPr>
          <w:rStyle w:val="68"/>
          <w:rFonts w:hint="eastAsia"/>
          <w:color w:val="auto"/>
          <w:highlight w:val="none"/>
        </w:rPr>
        <w:t>.</w:t>
      </w:r>
      <w:bookmarkEnd w:id="122"/>
      <w:bookmarkEnd w:id="123"/>
      <w:bookmarkEnd w:id="124"/>
      <w:r>
        <w:rPr>
          <w:rStyle w:val="68"/>
          <w:rFonts w:hint="eastAsia"/>
          <w:color w:val="auto"/>
          <w:highlight w:val="none"/>
        </w:rPr>
        <w:t xml:space="preserve">4 </w:t>
      </w:r>
      <w:r>
        <w:rPr>
          <w:rFonts w:hint="eastAsia"/>
          <w:color w:val="auto"/>
          <w:szCs w:val="21"/>
          <w:highlight w:val="none"/>
        </w:rPr>
        <w:t>同一记账凭证号的会计凭证存在不同记录形式时，应当以元数据的方式建立关联关系。如记账凭证为电子形式，原始凭证为纸质形式时，应当在记账凭证的相应元数据中注明，同时在纸质档案目录中备注其记账凭证号。</w:t>
      </w:r>
      <w:bookmarkEnd w:id="125"/>
      <w:bookmarkEnd w:id="126"/>
    </w:p>
    <w:p>
      <w:pPr>
        <w:pStyle w:val="69"/>
        <w:numPr>
          <w:ilvl w:val="2"/>
          <w:numId w:val="0"/>
        </w:numPr>
        <w:spacing w:before="156" w:after="156"/>
        <w:rPr>
          <w:color w:val="auto"/>
          <w:highlight w:val="none"/>
        </w:rPr>
      </w:pPr>
      <w:bookmarkStart w:id="127" w:name="_Toc66367013"/>
      <w:bookmarkStart w:id="128" w:name="_Toc1295468356"/>
      <w:bookmarkStart w:id="129" w:name="_Toc171166022"/>
      <w:bookmarkStart w:id="130" w:name="_Toc38349920"/>
      <w:bookmarkStart w:id="131" w:name="_Toc1204639905"/>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5</w:t>
      </w:r>
      <w:r>
        <w:rPr>
          <w:rFonts w:hint="eastAsia"/>
          <w:color w:val="auto"/>
          <w:highlight w:val="none"/>
        </w:rPr>
        <w:t xml:space="preserve"> 电子会计账簿的组件及排列</w:t>
      </w:r>
      <w:bookmarkEnd w:id="127"/>
      <w:bookmarkEnd w:id="128"/>
      <w:bookmarkEnd w:id="129"/>
      <w:bookmarkEnd w:id="130"/>
      <w:bookmarkEnd w:id="131"/>
    </w:p>
    <w:p>
      <w:pPr>
        <w:outlineLvl w:val="0"/>
        <w:rPr>
          <w:color w:val="auto"/>
          <w:szCs w:val="21"/>
          <w:highlight w:val="none"/>
        </w:rPr>
      </w:pPr>
      <w:bookmarkStart w:id="132" w:name="_Toc1276508537"/>
      <w:bookmarkStart w:id="133" w:name="_Toc223920947"/>
      <w:bookmarkStart w:id="134" w:name="_Toc66367014"/>
      <w:bookmarkStart w:id="135" w:name="_Toc38349922"/>
      <w:bookmarkStart w:id="136" w:name="_Toc268071113"/>
      <w:r>
        <w:rPr>
          <w:rStyle w:val="68"/>
          <w:rFonts w:hint="eastAsia" w:eastAsia="黑体"/>
          <w:color w:val="auto"/>
          <w:highlight w:val="none"/>
          <w:lang w:val="en-US" w:eastAsia="zh-CN"/>
        </w:rPr>
        <w:t>8</w:t>
      </w:r>
      <w:r>
        <w:rPr>
          <w:rStyle w:val="68"/>
          <w:rFonts w:hint="eastAsia"/>
          <w:color w:val="auto"/>
          <w:highlight w:val="none"/>
        </w:rPr>
        <w:t>.</w:t>
      </w:r>
      <w:r>
        <w:rPr>
          <w:rStyle w:val="68"/>
          <w:rFonts w:hint="eastAsia" w:eastAsia="黑体"/>
          <w:color w:val="auto"/>
          <w:highlight w:val="none"/>
          <w:lang w:val="en-US" w:eastAsia="zh-CN"/>
        </w:rPr>
        <w:t>5</w:t>
      </w:r>
      <w:r>
        <w:rPr>
          <w:rStyle w:val="68"/>
          <w:rFonts w:hint="eastAsia"/>
          <w:color w:val="auto"/>
          <w:highlight w:val="none"/>
        </w:rPr>
        <w:t xml:space="preserve">.1 </w:t>
      </w:r>
      <w:r>
        <w:rPr>
          <w:rFonts w:hint="eastAsia"/>
          <w:color w:val="auto"/>
          <w:szCs w:val="21"/>
          <w:highlight w:val="none"/>
        </w:rPr>
        <w:t>电子会计账簿根据6.</w:t>
      </w:r>
      <w:r>
        <w:rPr>
          <w:rFonts w:hint="eastAsia"/>
          <w:color w:val="auto"/>
          <w:szCs w:val="21"/>
          <w:highlight w:val="none"/>
          <w:lang w:val="en-US" w:eastAsia="zh-CN"/>
        </w:rPr>
        <w:t>3</w:t>
      </w:r>
      <w:r>
        <w:rPr>
          <w:rFonts w:hint="eastAsia"/>
          <w:color w:val="auto"/>
          <w:szCs w:val="21"/>
          <w:highlight w:val="none"/>
        </w:rPr>
        <w:t>按科目、会计周期，结合单个电子文件可存储的数据量组件。</w:t>
      </w:r>
      <w:bookmarkEnd w:id="132"/>
      <w:bookmarkEnd w:id="133"/>
      <w:bookmarkEnd w:id="134"/>
      <w:bookmarkEnd w:id="135"/>
      <w:bookmarkStart w:id="137" w:name="_Toc1287770017"/>
      <w:bookmarkStart w:id="138" w:name="_Toc38349927"/>
      <w:bookmarkStart w:id="139" w:name="_Toc66367019"/>
      <w:bookmarkStart w:id="140" w:name="_Toc1077837414"/>
      <w:r>
        <w:rPr>
          <w:rFonts w:hint="eastAsia"/>
          <w:color w:val="auto"/>
          <w:szCs w:val="21"/>
          <w:highlight w:val="none"/>
          <w:lang w:eastAsia="zh-CN"/>
        </w:rPr>
        <w:t>其中，电子固定资产卡片</w:t>
      </w:r>
      <w:r>
        <w:rPr>
          <w:rFonts w:hint="eastAsia"/>
          <w:color w:val="auto"/>
          <w:szCs w:val="21"/>
          <w:highlight w:val="none"/>
        </w:rPr>
        <w:t>按固定资产编号组件，同一固定资产编号的电子固定资产卡片组成一件。</w:t>
      </w:r>
      <w:bookmarkEnd w:id="136"/>
      <w:bookmarkEnd w:id="137"/>
      <w:bookmarkEnd w:id="138"/>
      <w:bookmarkEnd w:id="139"/>
      <w:bookmarkEnd w:id="140"/>
    </w:p>
    <w:p>
      <w:pPr>
        <w:outlineLvl w:val="0"/>
        <w:rPr>
          <w:color w:val="auto"/>
          <w:szCs w:val="21"/>
          <w:highlight w:val="none"/>
        </w:rPr>
      </w:pPr>
      <w:bookmarkStart w:id="141" w:name="_Toc38349923"/>
      <w:bookmarkStart w:id="142" w:name="_Toc66367015"/>
      <w:bookmarkStart w:id="143" w:name="_Toc1645380813"/>
      <w:bookmarkStart w:id="144" w:name="_Toc525104839"/>
      <w:bookmarkStart w:id="145" w:name="_Toc1382747758"/>
      <w:r>
        <w:rPr>
          <w:rStyle w:val="68"/>
          <w:rFonts w:hint="eastAsia" w:eastAsia="黑体"/>
          <w:color w:val="auto"/>
          <w:highlight w:val="none"/>
          <w:lang w:val="en-US" w:eastAsia="zh-CN"/>
        </w:rPr>
        <w:t>8</w:t>
      </w:r>
      <w:r>
        <w:rPr>
          <w:rStyle w:val="68"/>
          <w:rFonts w:hint="eastAsia"/>
          <w:color w:val="auto"/>
          <w:highlight w:val="none"/>
        </w:rPr>
        <w:t>.</w:t>
      </w:r>
      <w:r>
        <w:rPr>
          <w:rStyle w:val="68"/>
          <w:rFonts w:hint="eastAsia" w:eastAsia="黑体"/>
          <w:color w:val="auto"/>
          <w:highlight w:val="none"/>
          <w:lang w:val="en-US" w:eastAsia="zh-CN"/>
        </w:rPr>
        <w:t>5</w:t>
      </w:r>
      <w:r>
        <w:rPr>
          <w:rStyle w:val="68"/>
          <w:rFonts w:hint="eastAsia"/>
          <w:color w:val="auto"/>
          <w:highlight w:val="none"/>
        </w:rPr>
        <w:t xml:space="preserve">.2 </w:t>
      </w:r>
      <w:r>
        <w:rPr>
          <w:rFonts w:hint="eastAsia"/>
          <w:color w:val="auto"/>
          <w:szCs w:val="21"/>
          <w:highlight w:val="none"/>
        </w:rPr>
        <w:t>电子会计账簿按件管理，不再组卷。</w:t>
      </w:r>
      <w:bookmarkEnd w:id="141"/>
      <w:bookmarkEnd w:id="142"/>
      <w:bookmarkEnd w:id="143"/>
      <w:bookmarkEnd w:id="144"/>
      <w:bookmarkEnd w:id="145"/>
    </w:p>
    <w:p>
      <w:pPr>
        <w:outlineLvl w:val="0"/>
        <w:rPr>
          <w:color w:val="auto"/>
          <w:szCs w:val="21"/>
          <w:highlight w:val="none"/>
        </w:rPr>
      </w:pPr>
      <w:bookmarkStart w:id="146" w:name="_Toc66367016"/>
      <w:bookmarkStart w:id="147" w:name="_Toc38349924"/>
      <w:bookmarkStart w:id="148" w:name="_Toc1096287725"/>
      <w:bookmarkStart w:id="149" w:name="_Toc842020120"/>
      <w:bookmarkStart w:id="150" w:name="_Toc1704656086"/>
      <w:r>
        <w:rPr>
          <w:rStyle w:val="68"/>
          <w:rFonts w:hint="eastAsia" w:eastAsia="黑体"/>
          <w:color w:val="auto"/>
          <w:highlight w:val="none"/>
          <w:lang w:val="en-US" w:eastAsia="zh-CN"/>
        </w:rPr>
        <w:t>8</w:t>
      </w:r>
      <w:r>
        <w:rPr>
          <w:rStyle w:val="68"/>
          <w:rFonts w:hint="eastAsia"/>
          <w:color w:val="auto"/>
          <w:highlight w:val="none"/>
        </w:rPr>
        <w:t>.</w:t>
      </w:r>
      <w:r>
        <w:rPr>
          <w:rStyle w:val="68"/>
          <w:rFonts w:hint="eastAsia" w:eastAsia="黑体"/>
          <w:color w:val="auto"/>
          <w:highlight w:val="none"/>
          <w:lang w:val="en-US" w:eastAsia="zh-CN"/>
        </w:rPr>
        <w:t>5</w:t>
      </w:r>
      <w:r>
        <w:rPr>
          <w:rStyle w:val="68"/>
          <w:rFonts w:hint="eastAsia"/>
          <w:color w:val="auto"/>
          <w:highlight w:val="none"/>
        </w:rPr>
        <w:t xml:space="preserve">.3 </w:t>
      </w:r>
      <w:r>
        <w:rPr>
          <w:rFonts w:hint="eastAsia"/>
          <w:color w:val="auto"/>
          <w:szCs w:val="21"/>
          <w:highlight w:val="none"/>
        </w:rPr>
        <w:t>电子会计账簿按银行存款日记账、现金日记账、总账、明细分类账、固定资产卡片、其他辅助账簿的顺序排列，同一类型账簿按时间顺序排列</w:t>
      </w:r>
      <w:bookmarkEnd w:id="146"/>
      <w:bookmarkEnd w:id="147"/>
      <w:bookmarkEnd w:id="148"/>
      <w:bookmarkEnd w:id="149"/>
      <w:r>
        <w:rPr>
          <w:rFonts w:hint="eastAsia"/>
          <w:color w:val="auto"/>
          <w:szCs w:val="21"/>
          <w:highlight w:val="none"/>
          <w:lang w:eastAsia="zh-CN"/>
        </w:rPr>
        <w:t>。</w:t>
      </w:r>
      <w:bookmarkEnd w:id="150"/>
    </w:p>
    <w:p>
      <w:pPr>
        <w:pStyle w:val="69"/>
        <w:numPr>
          <w:ilvl w:val="2"/>
          <w:numId w:val="0"/>
        </w:numPr>
        <w:spacing w:before="156" w:after="156"/>
        <w:rPr>
          <w:color w:val="auto"/>
          <w:highlight w:val="none"/>
        </w:rPr>
      </w:pPr>
      <w:bookmarkStart w:id="151" w:name="_Toc1218294713"/>
      <w:bookmarkStart w:id="152" w:name="_Toc377360905"/>
      <w:bookmarkStart w:id="153" w:name="_Toc2057122860"/>
      <w:bookmarkStart w:id="154" w:name="_Toc66367021"/>
      <w:bookmarkStart w:id="155" w:name="_Toc38349928"/>
      <w:r>
        <w:rPr>
          <w:rFonts w:hint="eastAsia"/>
          <w:color w:val="auto"/>
          <w:highlight w:val="none"/>
          <w:lang w:val="en-US" w:eastAsia="zh-CN"/>
        </w:rPr>
        <w:t>8</w:t>
      </w:r>
      <w:r>
        <w:rPr>
          <w:rFonts w:hint="eastAsia"/>
          <w:color w:val="auto"/>
          <w:highlight w:val="none"/>
        </w:rPr>
        <w:t>.6 电子财务会计报告及其他电子会计资料的组件、组卷及排列</w:t>
      </w:r>
      <w:bookmarkEnd w:id="151"/>
      <w:bookmarkEnd w:id="152"/>
      <w:bookmarkEnd w:id="153"/>
      <w:bookmarkEnd w:id="154"/>
      <w:bookmarkEnd w:id="155"/>
    </w:p>
    <w:p>
      <w:pPr>
        <w:rPr>
          <w:color w:val="auto"/>
          <w:szCs w:val="21"/>
          <w:highlight w:val="none"/>
        </w:rPr>
      </w:pPr>
      <w:bookmarkStart w:id="156" w:name="_Toc66367023"/>
      <w:bookmarkStart w:id="157" w:name="_Toc1476369911"/>
      <w:bookmarkStart w:id="158" w:name="_Toc1786766725"/>
      <w:r>
        <w:rPr>
          <w:rStyle w:val="68"/>
          <w:rFonts w:hint="eastAsia" w:eastAsia="黑体"/>
          <w:color w:val="auto"/>
          <w:highlight w:val="none"/>
          <w:lang w:val="en-US" w:eastAsia="zh-CN"/>
        </w:rPr>
        <w:t>8</w:t>
      </w:r>
      <w:r>
        <w:rPr>
          <w:rStyle w:val="68"/>
          <w:rFonts w:hint="eastAsia"/>
          <w:color w:val="auto"/>
          <w:highlight w:val="none"/>
        </w:rPr>
        <w:t>.6.</w:t>
      </w:r>
      <w:bookmarkEnd w:id="156"/>
      <w:r>
        <w:rPr>
          <w:rStyle w:val="68"/>
          <w:rFonts w:hint="eastAsia" w:eastAsia="黑体"/>
          <w:color w:val="auto"/>
          <w:highlight w:val="none"/>
          <w:lang w:val="en-US" w:eastAsia="zh-CN"/>
        </w:rPr>
        <w:t>1</w:t>
      </w:r>
      <w:r>
        <w:rPr>
          <w:rStyle w:val="68"/>
          <w:rFonts w:hint="eastAsia"/>
          <w:color w:val="auto"/>
          <w:highlight w:val="none"/>
        </w:rPr>
        <w:t xml:space="preserve"> </w:t>
      </w:r>
      <w:bookmarkEnd w:id="157"/>
      <w:bookmarkEnd w:id="158"/>
      <w:r>
        <w:rPr>
          <w:rFonts w:hint="eastAsia"/>
          <w:color w:val="auto"/>
          <w:szCs w:val="21"/>
          <w:highlight w:val="none"/>
        </w:rPr>
        <w:t>电子财务会计报告按种类组件。不同类型、不同周期的报表不得组成一件。</w:t>
      </w:r>
    </w:p>
    <w:p>
      <w:pPr>
        <w:rPr>
          <w:color w:val="auto"/>
          <w:szCs w:val="21"/>
          <w:highlight w:val="none"/>
        </w:rPr>
      </w:pPr>
      <w:bookmarkStart w:id="159" w:name="_Toc66367024"/>
      <w:bookmarkStart w:id="160" w:name="_Toc1795663349"/>
      <w:bookmarkStart w:id="161" w:name="_Toc444214032"/>
      <w:r>
        <w:rPr>
          <w:rStyle w:val="68"/>
          <w:rFonts w:hint="eastAsia" w:eastAsia="黑体"/>
          <w:color w:val="auto"/>
          <w:highlight w:val="none"/>
          <w:lang w:val="en-US" w:eastAsia="zh-CN"/>
        </w:rPr>
        <w:t>8</w:t>
      </w:r>
      <w:r>
        <w:rPr>
          <w:rStyle w:val="68"/>
          <w:rFonts w:hint="eastAsia"/>
          <w:color w:val="auto"/>
          <w:highlight w:val="none"/>
        </w:rPr>
        <w:t>.6.</w:t>
      </w:r>
      <w:bookmarkEnd w:id="159"/>
      <w:r>
        <w:rPr>
          <w:rStyle w:val="68"/>
          <w:rFonts w:hint="eastAsia" w:eastAsia="黑体"/>
          <w:color w:val="auto"/>
          <w:highlight w:val="none"/>
          <w:lang w:val="en-US" w:eastAsia="zh-CN"/>
        </w:rPr>
        <w:t>2</w:t>
      </w:r>
      <w:r>
        <w:rPr>
          <w:rStyle w:val="68"/>
          <w:rFonts w:hint="eastAsia"/>
          <w:color w:val="auto"/>
          <w:highlight w:val="none"/>
        </w:rPr>
        <w:t xml:space="preserve"> </w:t>
      </w:r>
      <w:bookmarkEnd w:id="160"/>
      <w:bookmarkEnd w:id="161"/>
      <w:r>
        <w:rPr>
          <w:rFonts w:hint="eastAsia"/>
          <w:color w:val="auto"/>
          <w:szCs w:val="21"/>
          <w:highlight w:val="none"/>
        </w:rPr>
        <w:t>电子财务会计报告按月报、季报、半年报、年报分别组卷。卷内电子会计资料按形成时间先后顺序排列。</w:t>
      </w:r>
    </w:p>
    <w:p>
      <w:pPr>
        <w:rPr>
          <w:color w:val="auto"/>
          <w:szCs w:val="21"/>
          <w:highlight w:val="none"/>
        </w:rPr>
      </w:pPr>
      <w:bookmarkStart w:id="162" w:name="_Toc66367025"/>
      <w:bookmarkStart w:id="163" w:name="_Toc835513957"/>
      <w:bookmarkStart w:id="164" w:name="_Toc119216933"/>
      <w:r>
        <w:rPr>
          <w:rStyle w:val="68"/>
          <w:rFonts w:hint="eastAsia" w:eastAsia="黑体"/>
          <w:color w:val="auto"/>
          <w:highlight w:val="none"/>
          <w:lang w:val="en-US" w:eastAsia="zh-CN"/>
        </w:rPr>
        <w:t>8</w:t>
      </w:r>
      <w:r>
        <w:rPr>
          <w:rStyle w:val="68"/>
          <w:color w:val="auto"/>
          <w:highlight w:val="none"/>
        </w:rPr>
        <w:t>.6.</w:t>
      </w:r>
      <w:bookmarkEnd w:id="162"/>
      <w:r>
        <w:rPr>
          <w:rStyle w:val="68"/>
          <w:rFonts w:hint="eastAsia" w:eastAsia="黑体"/>
          <w:color w:val="auto"/>
          <w:highlight w:val="none"/>
          <w:lang w:val="en-US" w:eastAsia="zh-CN"/>
        </w:rPr>
        <w:t>3</w:t>
      </w:r>
      <w:r>
        <w:rPr>
          <w:rStyle w:val="68"/>
          <w:rFonts w:hint="eastAsia"/>
          <w:color w:val="auto"/>
          <w:highlight w:val="none"/>
        </w:rPr>
        <w:t xml:space="preserve"> </w:t>
      </w:r>
      <w:bookmarkEnd w:id="163"/>
      <w:bookmarkEnd w:id="164"/>
      <w:r>
        <w:rPr>
          <w:rFonts w:hint="eastAsia"/>
          <w:color w:val="auto"/>
          <w:szCs w:val="21"/>
          <w:highlight w:val="none"/>
        </w:rPr>
        <w:t>电子财务会计报告案卷按月报、季报、半年报、年报的顺序排列，同一类型电子财务会计报告案卷按时间先后顺序排列。</w:t>
      </w:r>
    </w:p>
    <w:p>
      <w:pPr>
        <w:rPr>
          <w:color w:val="auto"/>
          <w:szCs w:val="21"/>
          <w:highlight w:val="none"/>
        </w:rPr>
      </w:pPr>
      <w:bookmarkStart w:id="165" w:name="_Toc1289734402"/>
      <w:bookmarkStart w:id="166" w:name="_Toc66367026"/>
      <w:bookmarkStart w:id="167" w:name="_Toc1789985149"/>
      <w:r>
        <w:rPr>
          <w:rStyle w:val="68"/>
          <w:rFonts w:hint="eastAsia" w:eastAsia="黑体"/>
          <w:color w:val="auto"/>
          <w:highlight w:val="none"/>
          <w:lang w:val="en-US" w:eastAsia="zh-CN"/>
        </w:rPr>
        <w:t>8</w:t>
      </w:r>
      <w:r>
        <w:rPr>
          <w:rStyle w:val="68"/>
          <w:rFonts w:hint="eastAsia"/>
          <w:color w:val="auto"/>
          <w:highlight w:val="none"/>
        </w:rPr>
        <w:t>.6.</w:t>
      </w:r>
      <w:bookmarkEnd w:id="165"/>
      <w:bookmarkEnd w:id="166"/>
      <w:r>
        <w:rPr>
          <w:rStyle w:val="68"/>
          <w:rFonts w:hint="eastAsia" w:eastAsia="黑体"/>
          <w:color w:val="auto"/>
          <w:highlight w:val="none"/>
          <w:lang w:val="en-US" w:eastAsia="zh-CN"/>
        </w:rPr>
        <w:t xml:space="preserve">4 </w:t>
      </w:r>
      <w:bookmarkEnd w:id="167"/>
      <w:r>
        <w:rPr>
          <w:rFonts w:hint="eastAsia"/>
          <w:color w:val="auto"/>
          <w:szCs w:val="21"/>
          <w:highlight w:val="none"/>
        </w:rPr>
        <w:t>除前述外的其他电子会计资料按类别并结合时间完成整理组卷，不同类别和保管期限的电子会计资料不得组成一卷。卷内电子会计资料按形成时间顺序排列。</w:t>
      </w:r>
    </w:p>
    <w:p>
      <w:pPr>
        <w:pStyle w:val="69"/>
        <w:numPr>
          <w:ilvl w:val="2"/>
          <w:numId w:val="0"/>
        </w:numPr>
        <w:spacing w:before="156" w:after="156"/>
        <w:rPr>
          <w:color w:val="auto"/>
          <w:highlight w:val="none"/>
        </w:rPr>
      </w:pPr>
      <w:bookmarkStart w:id="168" w:name="_Toc66367027"/>
      <w:bookmarkStart w:id="169" w:name="_Toc1156751454"/>
      <w:bookmarkStart w:id="170" w:name="_Toc1473646958"/>
      <w:r>
        <w:rPr>
          <w:rFonts w:hint="eastAsia"/>
          <w:color w:val="auto"/>
          <w:highlight w:val="none"/>
          <w:lang w:val="en-US" w:eastAsia="zh-CN"/>
        </w:rPr>
        <w:t>8</w:t>
      </w:r>
      <w:r>
        <w:rPr>
          <w:rFonts w:hint="eastAsia"/>
          <w:color w:val="auto"/>
          <w:highlight w:val="none"/>
        </w:rPr>
        <w:t>.7 编号</w:t>
      </w:r>
      <w:bookmarkEnd w:id="168"/>
      <w:bookmarkEnd w:id="169"/>
      <w:bookmarkEnd w:id="170"/>
    </w:p>
    <w:p>
      <w:pPr>
        <w:ind w:firstLine="373" w:firstLineChars="178"/>
        <w:rPr>
          <w:color w:val="auto"/>
          <w:szCs w:val="21"/>
          <w:highlight w:val="none"/>
        </w:rPr>
      </w:pPr>
      <w:r>
        <w:rPr>
          <w:rFonts w:hint="eastAsia"/>
          <w:color w:val="auto"/>
          <w:szCs w:val="21"/>
          <w:highlight w:val="none"/>
        </w:rPr>
        <w:t>排列好的电子会计档案应当编制档号，档号格式为“[全宗号—]分类号—案卷号-件号（卷内序号）”。分类号由分类方案给定；案卷号和件号（卷内序号）由四位阿拉伯数字组成，位数不够时在前面加“0”，仅按件整理的电子会计资料可不编制案卷号。</w:t>
      </w:r>
    </w:p>
    <w:p>
      <w:pPr>
        <w:pStyle w:val="66"/>
        <w:numPr>
          <w:ilvl w:val="1"/>
          <w:numId w:val="0"/>
        </w:numPr>
        <w:spacing w:before="312" w:after="312"/>
        <w:ind w:leftChars="0"/>
        <w:rPr>
          <w:color w:val="auto"/>
          <w:highlight w:val="none"/>
        </w:rPr>
      </w:pPr>
      <w:bookmarkStart w:id="171" w:name="_Toc1475154067"/>
      <w:r>
        <w:rPr>
          <w:rFonts w:hint="eastAsia"/>
          <w:color w:val="auto"/>
          <w:highlight w:val="none"/>
          <w:lang w:val="en-US" w:eastAsia="zh-CN"/>
        </w:rPr>
        <w:t xml:space="preserve">9  </w:t>
      </w:r>
      <w:r>
        <w:rPr>
          <w:rFonts w:hint="eastAsia"/>
          <w:color w:val="auto"/>
          <w:highlight w:val="none"/>
        </w:rPr>
        <w:t>电子会计资料的归档移交与接收</w:t>
      </w:r>
      <w:bookmarkEnd w:id="171"/>
    </w:p>
    <w:p>
      <w:pPr>
        <w:rPr>
          <w:rFonts w:hint="eastAsia"/>
          <w:color w:val="auto"/>
          <w:szCs w:val="21"/>
          <w:highlight w:val="none"/>
          <w:lang w:eastAsia="zh-CN"/>
        </w:rPr>
      </w:pPr>
      <w:bookmarkStart w:id="172" w:name="_Toc66367029"/>
      <w:bookmarkStart w:id="173" w:name="_Toc698187991"/>
      <w:bookmarkStart w:id="174" w:name="_Toc1503190218"/>
      <w:r>
        <w:rPr>
          <w:rStyle w:val="68"/>
          <w:rFonts w:hint="eastAsia" w:eastAsia="黑体"/>
          <w:color w:val="auto"/>
          <w:highlight w:val="none"/>
          <w:lang w:val="en-US" w:eastAsia="zh-CN"/>
        </w:rPr>
        <w:t>9</w:t>
      </w:r>
      <w:r>
        <w:rPr>
          <w:rStyle w:val="68"/>
          <w:rFonts w:hint="eastAsia"/>
          <w:color w:val="auto"/>
          <w:highlight w:val="none"/>
        </w:rPr>
        <w:t>.1</w:t>
      </w:r>
      <w:bookmarkEnd w:id="172"/>
      <w:r>
        <w:rPr>
          <w:rStyle w:val="68"/>
          <w:rFonts w:hint="eastAsia"/>
          <w:color w:val="auto"/>
          <w:highlight w:val="none"/>
        </w:rPr>
        <w:t xml:space="preserve"> </w:t>
      </w:r>
      <w:bookmarkEnd w:id="173"/>
      <w:bookmarkEnd w:id="174"/>
      <w:r>
        <w:rPr>
          <w:rFonts w:hint="eastAsia" w:eastAsia="宋体"/>
          <w:color w:val="auto"/>
          <w:szCs w:val="21"/>
          <w:highlight w:val="none"/>
          <w:lang w:eastAsia="zh-CN"/>
        </w:rPr>
        <w:t>整理好的</w:t>
      </w:r>
      <w:r>
        <w:rPr>
          <w:rFonts w:hint="eastAsia"/>
          <w:color w:val="auto"/>
          <w:szCs w:val="21"/>
          <w:highlight w:val="none"/>
          <w:lang w:eastAsia="zh-CN"/>
        </w:rPr>
        <w:t>归档电子会计资料，在会计年度终了后，可由单位会计管理机构临时管理一年，再移交单位档案管理机构保管。因工作需要确需推迟移交的，应当经单位档案管理机构同意。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auto"/>
          <w:szCs w:val="21"/>
          <w:highlight w:val="none"/>
          <w:lang w:val="en-US" w:eastAsia="zh-CN"/>
        </w:rPr>
      </w:pPr>
      <w:r>
        <w:rPr>
          <w:rFonts w:hint="eastAsia"/>
          <w:color w:val="auto"/>
          <w:szCs w:val="21"/>
          <w:highlight w:val="none"/>
          <w:lang w:eastAsia="zh-CN"/>
        </w:rPr>
        <w:t>单位会计管理机构临时保管归档电子会计资料最长不超过三年。临时保管期间，归档</w:t>
      </w:r>
      <w:r>
        <w:rPr>
          <w:rFonts w:hint="eastAsia"/>
          <w:color w:val="auto"/>
          <w:szCs w:val="21"/>
          <w:highlight w:val="none"/>
          <w:lang w:val="en-US" w:eastAsia="zh-CN"/>
        </w:rPr>
        <w:t>电子会计资料的保管应当符合国家档案管理的有关规定，且出纳人员不得监管归档电子会计资料。</w:t>
      </w:r>
    </w:p>
    <w:p>
      <w:pPr>
        <w:rPr>
          <w:color w:val="auto"/>
          <w:szCs w:val="21"/>
          <w:highlight w:val="none"/>
        </w:rPr>
      </w:pPr>
      <w:bookmarkStart w:id="175" w:name="_Toc66367030"/>
      <w:bookmarkStart w:id="176" w:name="_Toc274624836"/>
      <w:bookmarkStart w:id="177" w:name="_Toc1638880290"/>
      <w:r>
        <w:rPr>
          <w:rStyle w:val="68"/>
          <w:rFonts w:hint="eastAsia" w:eastAsia="黑体"/>
          <w:color w:val="auto"/>
          <w:highlight w:val="none"/>
          <w:lang w:val="en-US" w:eastAsia="zh-CN"/>
        </w:rPr>
        <w:t>9</w:t>
      </w:r>
      <w:r>
        <w:rPr>
          <w:rStyle w:val="68"/>
          <w:rFonts w:hint="eastAsia"/>
          <w:color w:val="auto"/>
          <w:highlight w:val="none"/>
        </w:rPr>
        <w:t>.2</w:t>
      </w:r>
      <w:bookmarkEnd w:id="175"/>
      <w:r>
        <w:rPr>
          <w:rStyle w:val="68"/>
          <w:rFonts w:hint="eastAsia"/>
          <w:color w:val="auto"/>
          <w:highlight w:val="none"/>
        </w:rPr>
        <w:t xml:space="preserve"> </w:t>
      </w:r>
      <w:bookmarkEnd w:id="176"/>
      <w:bookmarkEnd w:id="177"/>
      <w:r>
        <w:rPr>
          <w:rFonts w:hint="eastAsia"/>
          <w:color w:val="auto"/>
          <w:szCs w:val="21"/>
          <w:highlight w:val="none"/>
        </w:rPr>
        <w:t>单位档案管理机构在接收</w:t>
      </w:r>
      <w:r>
        <w:rPr>
          <w:rFonts w:hint="eastAsia"/>
          <w:color w:val="auto"/>
          <w:szCs w:val="21"/>
          <w:highlight w:val="none"/>
          <w:lang w:eastAsia="zh-CN"/>
        </w:rPr>
        <w:t>归档电子会计资料</w:t>
      </w:r>
      <w:r>
        <w:rPr>
          <w:rFonts w:hint="eastAsia"/>
          <w:color w:val="auto"/>
          <w:szCs w:val="21"/>
          <w:highlight w:val="none"/>
        </w:rPr>
        <w:t>时应当按照DA/T70有关要求进行检测，检测合格后方可接收。</w:t>
      </w:r>
    </w:p>
    <w:p>
      <w:pPr>
        <w:rPr>
          <w:color w:val="auto"/>
          <w:szCs w:val="21"/>
          <w:highlight w:val="none"/>
        </w:rPr>
      </w:pPr>
      <w:bookmarkStart w:id="178" w:name="_Toc66367031"/>
      <w:bookmarkStart w:id="179" w:name="_Toc1947367604"/>
      <w:bookmarkStart w:id="180" w:name="_Toc1446796766"/>
      <w:r>
        <w:rPr>
          <w:rStyle w:val="68"/>
          <w:rFonts w:hint="eastAsia" w:eastAsia="黑体"/>
          <w:color w:val="auto"/>
          <w:highlight w:val="none"/>
          <w:lang w:val="en-US" w:eastAsia="zh-CN"/>
        </w:rPr>
        <w:t>9</w:t>
      </w:r>
      <w:r>
        <w:rPr>
          <w:rStyle w:val="68"/>
          <w:color w:val="auto"/>
          <w:highlight w:val="none"/>
        </w:rPr>
        <w:t>.3</w:t>
      </w:r>
      <w:bookmarkEnd w:id="178"/>
      <w:r>
        <w:rPr>
          <w:rStyle w:val="68"/>
          <w:color w:val="auto"/>
          <w:highlight w:val="none"/>
        </w:rPr>
        <w:t xml:space="preserve"> </w:t>
      </w:r>
      <w:bookmarkEnd w:id="179"/>
      <w:bookmarkEnd w:id="180"/>
      <w:r>
        <w:rPr>
          <w:rFonts w:hint="eastAsia"/>
          <w:color w:val="auto"/>
          <w:szCs w:val="21"/>
          <w:highlight w:val="none"/>
        </w:rPr>
        <w:t>电子会计资料归档移交与接收时双方应当通过线上或线下及时办理交接手续。</w:t>
      </w:r>
    </w:p>
    <w:p>
      <w:pPr>
        <w:pStyle w:val="66"/>
        <w:numPr>
          <w:ilvl w:val="1"/>
          <w:numId w:val="0"/>
        </w:numPr>
        <w:spacing w:before="312" w:after="312"/>
        <w:ind w:leftChars="0"/>
        <w:rPr>
          <w:rFonts w:hint="eastAsia" w:eastAsia="黑体"/>
          <w:color w:val="auto"/>
          <w:highlight w:val="none"/>
          <w:lang w:eastAsia="zh-CN"/>
        </w:rPr>
      </w:pPr>
      <w:bookmarkStart w:id="181" w:name="_Toc1171164380"/>
      <w:r>
        <w:rPr>
          <w:rFonts w:hint="eastAsia"/>
          <w:color w:val="auto"/>
          <w:highlight w:val="none"/>
          <w:lang w:val="en-US" w:eastAsia="zh-CN"/>
        </w:rPr>
        <w:t xml:space="preserve">10  </w:t>
      </w:r>
      <w:r>
        <w:rPr>
          <w:rFonts w:hint="eastAsia"/>
          <w:color w:val="auto"/>
          <w:highlight w:val="none"/>
        </w:rPr>
        <w:t>电子会计档案的</w:t>
      </w:r>
      <w:r>
        <w:rPr>
          <w:rFonts w:hint="eastAsia"/>
          <w:color w:val="auto"/>
          <w:highlight w:val="none"/>
          <w:lang w:eastAsia="zh-CN"/>
        </w:rPr>
        <w:t>保管</w:t>
      </w:r>
      <w:bookmarkEnd w:id="181"/>
    </w:p>
    <w:p>
      <w:pPr>
        <w:rPr>
          <w:color w:val="auto"/>
          <w:szCs w:val="21"/>
          <w:highlight w:val="none"/>
        </w:rPr>
      </w:pPr>
      <w:bookmarkStart w:id="182" w:name="_Toc66367033"/>
      <w:bookmarkStart w:id="183" w:name="_Toc1781651203"/>
      <w:bookmarkStart w:id="184" w:name="_Toc1671627084"/>
      <w:r>
        <w:rPr>
          <w:rStyle w:val="68"/>
          <w:rFonts w:hint="eastAsia"/>
          <w:color w:val="auto"/>
          <w:highlight w:val="none"/>
        </w:rPr>
        <w:t>1</w:t>
      </w:r>
      <w:r>
        <w:rPr>
          <w:rStyle w:val="68"/>
          <w:rFonts w:hint="eastAsia" w:eastAsia="黑体"/>
          <w:color w:val="auto"/>
          <w:highlight w:val="none"/>
          <w:lang w:val="en-US" w:eastAsia="zh-CN"/>
        </w:rPr>
        <w:t>0</w:t>
      </w:r>
      <w:r>
        <w:rPr>
          <w:rStyle w:val="68"/>
          <w:rFonts w:hint="eastAsia"/>
          <w:color w:val="auto"/>
          <w:highlight w:val="none"/>
        </w:rPr>
        <w:t>.1</w:t>
      </w:r>
      <w:bookmarkEnd w:id="182"/>
      <w:r>
        <w:rPr>
          <w:rStyle w:val="68"/>
          <w:rFonts w:hint="eastAsia"/>
          <w:color w:val="auto"/>
          <w:highlight w:val="none"/>
        </w:rPr>
        <w:t xml:space="preserve"> </w:t>
      </w:r>
      <w:bookmarkEnd w:id="183"/>
      <w:bookmarkEnd w:id="184"/>
      <w:r>
        <w:rPr>
          <w:rFonts w:hint="eastAsia"/>
          <w:color w:val="auto"/>
          <w:szCs w:val="21"/>
          <w:highlight w:val="none"/>
        </w:rPr>
        <w:t>单位档案管理机构应当每一年对电子会计档案的可读性进行评估，形成评估报告；如存在因系统软、硬件或其他技术升级、变动出现电子档案不可读取的风险，应当对电子会计档案进行迁移。</w:t>
      </w:r>
    </w:p>
    <w:p>
      <w:pPr>
        <w:rPr>
          <w:color w:val="auto"/>
          <w:szCs w:val="21"/>
          <w:highlight w:val="none"/>
        </w:rPr>
      </w:pPr>
      <w:bookmarkStart w:id="185" w:name="_Toc66367034"/>
      <w:bookmarkStart w:id="186" w:name="_Toc895731278"/>
      <w:bookmarkStart w:id="187" w:name="_Toc452268255"/>
      <w:r>
        <w:rPr>
          <w:rStyle w:val="68"/>
          <w:rFonts w:hint="eastAsia"/>
          <w:color w:val="auto"/>
          <w:highlight w:val="none"/>
        </w:rPr>
        <w:t>1</w:t>
      </w:r>
      <w:r>
        <w:rPr>
          <w:rStyle w:val="68"/>
          <w:rFonts w:hint="eastAsia" w:eastAsia="黑体"/>
          <w:color w:val="auto"/>
          <w:highlight w:val="none"/>
          <w:lang w:val="en-US" w:eastAsia="zh-CN"/>
        </w:rPr>
        <w:t>0</w:t>
      </w:r>
      <w:r>
        <w:rPr>
          <w:rStyle w:val="68"/>
          <w:rFonts w:hint="eastAsia"/>
          <w:color w:val="auto"/>
          <w:highlight w:val="none"/>
        </w:rPr>
        <w:t>.2</w:t>
      </w:r>
      <w:bookmarkEnd w:id="185"/>
      <w:r>
        <w:rPr>
          <w:rStyle w:val="68"/>
          <w:rFonts w:hint="eastAsia"/>
          <w:color w:val="auto"/>
          <w:highlight w:val="none"/>
        </w:rPr>
        <w:t xml:space="preserve"> </w:t>
      </w:r>
      <w:bookmarkEnd w:id="186"/>
      <w:bookmarkEnd w:id="187"/>
      <w:r>
        <w:rPr>
          <w:rFonts w:hint="eastAsia"/>
          <w:color w:val="auto"/>
          <w:szCs w:val="21"/>
          <w:highlight w:val="none"/>
        </w:rPr>
        <w:t>电子会计档案迁移前应当进行迁移可行性评估，包括目标载体、系统、格式的可持续性、安全性、经济性等评估，并保证迁移过程电子</w:t>
      </w:r>
      <w:r>
        <w:rPr>
          <w:rFonts w:hint="eastAsia"/>
          <w:color w:val="auto"/>
          <w:szCs w:val="21"/>
          <w:highlight w:val="none"/>
          <w:lang w:eastAsia="zh-CN"/>
        </w:rPr>
        <w:t>会计档案</w:t>
      </w:r>
      <w:r>
        <w:rPr>
          <w:rFonts w:hint="eastAsia"/>
          <w:color w:val="auto"/>
          <w:szCs w:val="21"/>
          <w:highlight w:val="none"/>
        </w:rPr>
        <w:t>真实性，过程可控，防止迁移过程中电子</w:t>
      </w:r>
      <w:r>
        <w:rPr>
          <w:rFonts w:hint="eastAsia"/>
          <w:color w:val="auto"/>
          <w:szCs w:val="21"/>
          <w:highlight w:val="none"/>
          <w:lang w:eastAsia="zh-CN"/>
        </w:rPr>
        <w:t>会计档案</w:t>
      </w:r>
      <w:r>
        <w:rPr>
          <w:rFonts w:hint="eastAsia"/>
          <w:color w:val="auto"/>
          <w:szCs w:val="21"/>
          <w:highlight w:val="none"/>
        </w:rPr>
        <w:t>信息丢失、非法篡改。迁移后原文件保留时间不得低于</w:t>
      </w:r>
      <w:r>
        <w:rPr>
          <w:color w:val="auto"/>
          <w:szCs w:val="21"/>
          <w:highlight w:val="none"/>
        </w:rPr>
        <w:t>3</w:t>
      </w:r>
      <w:r>
        <w:rPr>
          <w:rFonts w:hint="eastAsia"/>
          <w:color w:val="auto"/>
          <w:szCs w:val="21"/>
          <w:highlight w:val="none"/>
        </w:rPr>
        <w:t>年。</w:t>
      </w:r>
    </w:p>
    <w:p>
      <w:pPr>
        <w:rPr>
          <w:color w:val="auto"/>
          <w:szCs w:val="21"/>
          <w:highlight w:val="none"/>
        </w:rPr>
      </w:pPr>
      <w:bookmarkStart w:id="188" w:name="_Toc66367035"/>
      <w:bookmarkStart w:id="189" w:name="_Toc1971279874"/>
      <w:bookmarkStart w:id="190" w:name="_Toc700885106"/>
      <w:r>
        <w:rPr>
          <w:rStyle w:val="68"/>
          <w:rFonts w:hint="eastAsia"/>
          <w:color w:val="auto"/>
          <w:highlight w:val="none"/>
        </w:rPr>
        <w:t>1</w:t>
      </w:r>
      <w:r>
        <w:rPr>
          <w:rStyle w:val="68"/>
          <w:rFonts w:hint="eastAsia" w:eastAsia="黑体"/>
          <w:color w:val="auto"/>
          <w:highlight w:val="none"/>
          <w:lang w:val="en-US" w:eastAsia="zh-CN"/>
        </w:rPr>
        <w:t>0</w:t>
      </w:r>
      <w:r>
        <w:rPr>
          <w:rStyle w:val="68"/>
          <w:rFonts w:hint="eastAsia"/>
          <w:color w:val="auto"/>
          <w:highlight w:val="none"/>
        </w:rPr>
        <w:t>.3</w:t>
      </w:r>
      <w:bookmarkEnd w:id="188"/>
      <w:r>
        <w:rPr>
          <w:rStyle w:val="68"/>
          <w:rFonts w:hint="eastAsia"/>
          <w:color w:val="auto"/>
          <w:highlight w:val="none"/>
        </w:rPr>
        <w:t xml:space="preserve"> </w:t>
      </w:r>
      <w:bookmarkEnd w:id="189"/>
      <w:bookmarkEnd w:id="190"/>
      <w:r>
        <w:rPr>
          <w:rFonts w:hint="eastAsia"/>
          <w:color w:val="auto"/>
          <w:szCs w:val="21"/>
          <w:highlight w:val="none"/>
        </w:rPr>
        <w:t>离线存储</w:t>
      </w:r>
    </w:p>
    <w:p>
      <w:pPr>
        <w:rPr>
          <w:color w:val="auto"/>
          <w:szCs w:val="21"/>
          <w:highlight w:val="none"/>
        </w:rPr>
      </w:pPr>
      <w:bookmarkStart w:id="191" w:name="_Toc154613336"/>
      <w:bookmarkStart w:id="192" w:name="_Toc66367036"/>
      <w:bookmarkStart w:id="193" w:name="_Toc1197455000"/>
      <w:r>
        <w:rPr>
          <w:rStyle w:val="68"/>
          <w:rFonts w:hint="eastAsia"/>
          <w:color w:val="auto"/>
          <w:highlight w:val="none"/>
        </w:rPr>
        <w:t>1</w:t>
      </w:r>
      <w:r>
        <w:rPr>
          <w:rStyle w:val="68"/>
          <w:rFonts w:hint="eastAsia" w:eastAsia="黑体"/>
          <w:color w:val="auto"/>
          <w:highlight w:val="none"/>
          <w:lang w:val="en-US" w:eastAsia="zh-CN"/>
        </w:rPr>
        <w:t>0</w:t>
      </w:r>
      <w:r>
        <w:rPr>
          <w:rStyle w:val="68"/>
          <w:rFonts w:hint="eastAsia"/>
          <w:color w:val="auto"/>
          <w:highlight w:val="none"/>
        </w:rPr>
        <w:t>.3.1</w:t>
      </w:r>
      <w:bookmarkEnd w:id="191"/>
      <w:bookmarkEnd w:id="192"/>
      <w:bookmarkEnd w:id="193"/>
      <w:r>
        <w:rPr>
          <w:rFonts w:hint="eastAsia"/>
          <w:color w:val="auto"/>
          <w:szCs w:val="21"/>
          <w:highlight w:val="none"/>
        </w:rPr>
        <w:t>重要电子会计档案应当进行一式三套离线存储，载体应具有较好的耐久性，载体选择标准依次为只读光盘、一次性写光盘、磁带、可擦写光盘、硬磁盘等。三套载体最好分开保存，有条件的单位应当进行异地备份。</w:t>
      </w:r>
    </w:p>
    <w:p>
      <w:pPr>
        <w:rPr>
          <w:color w:val="auto"/>
          <w:szCs w:val="21"/>
          <w:highlight w:val="none"/>
        </w:rPr>
      </w:pPr>
      <w:bookmarkStart w:id="194" w:name="_Toc66367037"/>
      <w:bookmarkStart w:id="195" w:name="_Toc1721008285"/>
      <w:bookmarkStart w:id="196" w:name="_Toc434237488"/>
      <w:r>
        <w:rPr>
          <w:rStyle w:val="68"/>
          <w:rFonts w:hint="eastAsia"/>
          <w:color w:val="auto"/>
          <w:highlight w:val="none"/>
        </w:rPr>
        <w:t>1</w:t>
      </w:r>
      <w:r>
        <w:rPr>
          <w:rStyle w:val="68"/>
          <w:rFonts w:hint="eastAsia" w:eastAsia="黑体"/>
          <w:color w:val="auto"/>
          <w:highlight w:val="none"/>
          <w:lang w:val="en-US" w:eastAsia="zh-CN"/>
        </w:rPr>
        <w:t>0</w:t>
      </w:r>
      <w:r>
        <w:rPr>
          <w:rStyle w:val="68"/>
          <w:rFonts w:hint="eastAsia"/>
          <w:color w:val="auto"/>
          <w:highlight w:val="none"/>
        </w:rPr>
        <w:t>.3.2</w:t>
      </w:r>
      <w:bookmarkEnd w:id="194"/>
      <w:r>
        <w:rPr>
          <w:rStyle w:val="68"/>
          <w:rFonts w:hint="eastAsia"/>
          <w:color w:val="auto"/>
          <w:highlight w:val="none"/>
        </w:rPr>
        <w:t xml:space="preserve"> </w:t>
      </w:r>
      <w:bookmarkEnd w:id="195"/>
      <w:bookmarkEnd w:id="196"/>
      <w:r>
        <w:rPr>
          <w:rFonts w:hint="eastAsia"/>
          <w:color w:val="auto"/>
          <w:szCs w:val="21"/>
          <w:highlight w:val="none"/>
        </w:rPr>
        <w:t>离线存储载体管理可按照DA/T38和DA/T15要求进行。</w:t>
      </w:r>
    </w:p>
    <w:p>
      <w:pPr>
        <w:rPr>
          <w:color w:val="auto"/>
          <w:szCs w:val="21"/>
          <w:highlight w:val="none"/>
        </w:rPr>
      </w:pPr>
      <w:bookmarkStart w:id="197" w:name="_Toc66367038"/>
      <w:bookmarkStart w:id="198" w:name="_Toc11821639"/>
      <w:bookmarkStart w:id="199" w:name="_Toc2069072771"/>
      <w:r>
        <w:rPr>
          <w:rStyle w:val="68"/>
          <w:rFonts w:hint="eastAsia"/>
          <w:color w:val="auto"/>
          <w:highlight w:val="none"/>
        </w:rPr>
        <w:t>1</w:t>
      </w:r>
      <w:r>
        <w:rPr>
          <w:rStyle w:val="68"/>
          <w:rFonts w:hint="eastAsia" w:eastAsia="黑体"/>
          <w:color w:val="auto"/>
          <w:highlight w:val="none"/>
          <w:lang w:val="en-US" w:eastAsia="zh-CN"/>
        </w:rPr>
        <w:t>0</w:t>
      </w:r>
      <w:r>
        <w:rPr>
          <w:rStyle w:val="68"/>
          <w:rFonts w:hint="eastAsia"/>
          <w:color w:val="auto"/>
          <w:highlight w:val="none"/>
        </w:rPr>
        <w:t>.3.3</w:t>
      </w:r>
      <w:bookmarkEnd w:id="197"/>
      <w:r>
        <w:rPr>
          <w:rStyle w:val="68"/>
          <w:rFonts w:hint="eastAsia"/>
          <w:color w:val="auto"/>
          <w:highlight w:val="none"/>
        </w:rPr>
        <w:t xml:space="preserve"> </w:t>
      </w:r>
      <w:bookmarkEnd w:id="198"/>
      <w:bookmarkEnd w:id="199"/>
      <w:r>
        <w:rPr>
          <w:rFonts w:hint="eastAsia"/>
          <w:color w:val="auto"/>
          <w:szCs w:val="21"/>
          <w:highlight w:val="none"/>
        </w:rPr>
        <w:t>离线存储时应当按保管单位和离线存储载体容量进行信息组织，电子</w:t>
      </w:r>
      <w:r>
        <w:rPr>
          <w:rFonts w:hint="eastAsia"/>
          <w:color w:val="auto"/>
          <w:szCs w:val="21"/>
          <w:highlight w:val="none"/>
          <w:lang w:eastAsia="zh-CN"/>
        </w:rPr>
        <w:t>会计</w:t>
      </w:r>
      <w:r>
        <w:rPr>
          <w:rFonts w:hint="eastAsia"/>
          <w:color w:val="auto"/>
          <w:szCs w:val="21"/>
          <w:highlight w:val="none"/>
        </w:rPr>
        <w:t>档案离线存储按照《电子</w:t>
      </w:r>
      <w:r>
        <w:rPr>
          <w:rFonts w:hint="eastAsia"/>
          <w:color w:val="auto"/>
          <w:szCs w:val="21"/>
          <w:highlight w:val="none"/>
          <w:lang w:eastAsia="zh-CN"/>
        </w:rPr>
        <w:t>档案</w:t>
      </w:r>
      <w:r>
        <w:rPr>
          <w:rFonts w:hint="eastAsia"/>
          <w:color w:val="auto"/>
          <w:szCs w:val="21"/>
          <w:highlight w:val="none"/>
        </w:rPr>
        <w:t>移交与接收办法》（档发</w:t>
      </w:r>
      <w:r>
        <w:rPr>
          <w:rFonts w:hint="eastAsia" w:eastAsia="宋体"/>
          <w:color w:val="auto"/>
          <w:szCs w:val="21"/>
          <w:highlight w:val="none"/>
        </w:rPr>
        <w:t>﹝20</w:t>
      </w:r>
      <w:r>
        <w:rPr>
          <w:rFonts w:hint="eastAsia" w:eastAsia="宋体"/>
          <w:color w:val="auto"/>
          <w:szCs w:val="21"/>
          <w:highlight w:val="none"/>
          <w:lang w:val="en-US" w:eastAsia="zh-CN"/>
        </w:rPr>
        <w:t>12</w:t>
      </w:r>
      <w:r>
        <w:rPr>
          <w:rFonts w:hint="eastAsia" w:eastAsia="宋体"/>
          <w:color w:val="auto"/>
          <w:szCs w:val="21"/>
          <w:highlight w:val="none"/>
        </w:rPr>
        <w:t>﹞</w:t>
      </w:r>
      <w:r>
        <w:rPr>
          <w:rFonts w:hint="eastAsia"/>
          <w:color w:val="auto"/>
          <w:szCs w:val="21"/>
          <w:highlight w:val="none"/>
        </w:rPr>
        <w:t>7号）进行，不能用运维备份的文件组织方式进行离线存储，更不能用系统备份文件代替离线存储文件。</w:t>
      </w:r>
    </w:p>
    <w:p>
      <w:pPr>
        <w:rPr>
          <w:color w:val="auto"/>
          <w:szCs w:val="21"/>
          <w:highlight w:val="none"/>
        </w:rPr>
      </w:pPr>
      <w:bookmarkStart w:id="200" w:name="_Toc66367039"/>
      <w:bookmarkStart w:id="201" w:name="_Toc2115103060"/>
      <w:bookmarkStart w:id="202" w:name="_Toc1289860226"/>
      <w:r>
        <w:rPr>
          <w:rStyle w:val="68"/>
          <w:rFonts w:hint="eastAsia"/>
          <w:color w:val="auto"/>
          <w:highlight w:val="none"/>
        </w:rPr>
        <w:t>1</w:t>
      </w:r>
      <w:r>
        <w:rPr>
          <w:rStyle w:val="68"/>
          <w:rFonts w:hint="eastAsia" w:eastAsia="黑体"/>
          <w:color w:val="auto"/>
          <w:highlight w:val="none"/>
          <w:lang w:val="en-US" w:eastAsia="zh-CN"/>
        </w:rPr>
        <w:t>0</w:t>
      </w:r>
      <w:r>
        <w:rPr>
          <w:rStyle w:val="68"/>
          <w:rFonts w:hint="eastAsia"/>
          <w:color w:val="auto"/>
          <w:highlight w:val="none"/>
        </w:rPr>
        <w:t>.3.4</w:t>
      </w:r>
      <w:bookmarkEnd w:id="200"/>
      <w:r>
        <w:rPr>
          <w:rStyle w:val="68"/>
          <w:rFonts w:hint="eastAsia"/>
          <w:color w:val="auto"/>
          <w:highlight w:val="none"/>
        </w:rPr>
        <w:t xml:space="preserve"> </w:t>
      </w:r>
      <w:bookmarkEnd w:id="201"/>
      <w:bookmarkEnd w:id="202"/>
      <w:r>
        <w:rPr>
          <w:rFonts w:hint="eastAsia"/>
          <w:color w:val="auto"/>
          <w:szCs w:val="21"/>
          <w:highlight w:val="none"/>
        </w:rPr>
        <w:t>对磁性载体上的电子</w:t>
      </w:r>
      <w:r>
        <w:rPr>
          <w:rFonts w:hint="eastAsia"/>
          <w:color w:val="auto"/>
          <w:szCs w:val="21"/>
          <w:highlight w:val="none"/>
          <w:lang w:eastAsia="zh-CN"/>
        </w:rPr>
        <w:t>会计</w:t>
      </w:r>
      <w:r>
        <w:rPr>
          <w:rFonts w:hint="eastAsia"/>
          <w:color w:val="auto"/>
          <w:szCs w:val="21"/>
          <w:highlight w:val="none"/>
        </w:rPr>
        <w:t>档案每满2年、光盘每满4年进行一次抽样机读检验，抽样率不低于10%，如发现问题应当及时采取措施。</w:t>
      </w:r>
    </w:p>
    <w:p>
      <w:pPr>
        <w:rPr>
          <w:color w:val="auto"/>
          <w:szCs w:val="21"/>
          <w:highlight w:val="none"/>
        </w:rPr>
      </w:pPr>
      <w:bookmarkStart w:id="203" w:name="_Toc66367040"/>
      <w:bookmarkStart w:id="204" w:name="_Toc308380219"/>
      <w:bookmarkStart w:id="205" w:name="_Toc619550119"/>
      <w:r>
        <w:rPr>
          <w:rStyle w:val="68"/>
          <w:rFonts w:hint="eastAsia"/>
          <w:color w:val="auto"/>
          <w:highlight w:val="none"/>
        </w:rPr>
        <w:t>1</w:t>
      </w:r>
      <w:r>
        <w:rPr>
          <w:rStyle w:val="68"/>
          <w:rFonts w:hint="eastAsia" w:eastAsia="黑体"/>
          <w:color w:val="auto"/>
          <w:highlight w:val="none"/>
          <w:lang w:val="en-US" w:eastAsia="zh-CN"/>
        </w:rPr>
        <w:t>0</w:t>
      </w:r>
      <w:r>
        <w:rPr>
          <w:rStyle w:val="68"/>
          <w:rFonts w:hint="eastAsia"/>
          <w:color w:val="auto"/>
          <w:highlight w:val="none"/>
        </w:rPr>
        <w:t>.3.5</w:t>
      </w:r>
      <w:bookmarkEnd w:id="203"/>
      <w:r>
        <w:rPr>
          <w:rStyle w:val="68"/>
          <w:rFonts w:hint="eastAsia"/>
          <w:color w:val="auto"/>
          <w:highlight w:val="none"/>
        </w:rPr>
        <w:t xml:space="preserve"> </w:t>
      </w:r>
      <w:bookmarkEnd w:id="204"/>
      <w:bookmarkEnd w:id="205"/>
      <w:r>
        <w:rPr>
          <w:rFonts w:hint="eastAsia"/>
          <w:color w:val="auto"/>
          <w:szCs w:val="21"/>
          <w:highlight w:val="none"/>
        </w:rPr>
        <w:t>对磁性载体上的电子档案，应当每4年转存一次。原载体同时保留时间不少于4年。</w:t>
      </w:r>
    </w:p>
    <w:p>
      <w:pPr>
        <w:pStyle w:val="66"/>
        <w:numPr>
          <w:ilvl w:val="1"/>
          <w:numId w:val="0"/>
        </w:numPr>
        <w:spacing w:before="312" w:after="312"/>
        <w:ind w:leftChars="0"/>
        <w:rPr>
          <w:color w:val="auto"/>
          <w:highlight w:val="none"/>
        </w:rPr>
      </w:pPr>
      <w:bookmarkStart w:id="206" w:name="_Toc220882707"/>
      <w:r>
        <w:rPr>
          <w:rFonts w:hint="eastAsia"/>
          <w:color w:val="auto"/>
          <w:highlight w:val="none"/>
          <w:lang w:val="en-US" w:eastAsia="zh-CN"/>
        </w:rPr>
        <w:t xml:space="preserve">11  </w:t>
      </w:r>
      <w:r>
        <w:rPr>
          <w:rFonts w:hint="eastAsia"/>
          <w:color w:val="auto"/>
          <w:highlight w:val="none"/>
        </w:rPr>
        <w:t>电子会计档案的统计</w:t>
      </w:r>
      <w:bookmarkEnd w:id="206"/>
    </w:p>
    <w:p>
      <w:pPr>
        <w:ind w:firstLine="373" w:firstLineChars="178"/>
        <w:rPr>
          <w:color w:val="auto"/>
          <w:szCs w:val="21"/>
          <w:highlight w:val="none"/>
        </w:rPr>
      </w:pPr>
      <w:r>
        <w:rPr>
          <w:rFonts w:hint="eastAsia"/>
          <w:color w:val="auto"/>
          <w:szCs w:val="21"/>
          <w:highlight w:val="none"/>
        </w:rPr>
        <w:t>单位应当按照国家档案统计要求及本单位实际需要，对电子会计档案进行统计。</w:t>
      </w:r>
    </w:p>
    <w:p>
      <w:pPr>
        <w:pStyle w:val="66"/>
        <w:numPr>
          <w:ilvl w:val="1"/>
          <w:numId w:val="0"/>
        </w:numPr>
        <w:spacing w:before="312" w:after="312"/>
        <w:ind w:leftChars="0"/>
        <w:rPr>
          <w:color w:val="auto"/>
          <w:highlight w:val="none"/>
        </w:rPr>
      </w:pPr>
      <w:bookmarkStart w:id="207" w:name="_Toc1704043692"/>
      <w:r>
        <w:rPr>
          <w:rFonts w:hint="eastAsia"/>
          <w:color w:val="auto"/>
          <w:highlight w:val="none"/>
          <w:lang w:val="en-US" w:eastAsia="zh-CN"/>
        </w:rPr>
        <w:t xml:space="preserve">12  </w:t>
      </w:r>
      <w:r>
        <w:rPr>
          <w:rFonts w:hint="eastAsia"/>
          <w:color w:val="auto"/>
          <w:highlight w:val="none"/>
        </w:rPr>
        <w:t>电子会计档案的利用</w:t>
      </w:r>
      <w:bookmarkEnd w:id="207"/>
    </w:p>
    <w:p>
      <w:pPr>
        <w:rPr>
          <w:color w:val="auto"/>
          <w:szCs w:val="21"/>
          <w:highlight w:val="none"/>
        </w:rPr>
      </w:pPr>
      <w:bookmarkStart w:id="208" w:name="_Toc66367043"/>
      <w:bookmarkStart w:id="209" w:name="_Toc790716141"/>
      <w:bookmarkStart w:id="210" w:name="_Toc1292240814"/>
      <w:r>
        <w:rPr>
          <w:rStyle w:val="68"/>
          <w:rFonts w:hint="eastAsia"/>
          <w:color w:val="auto"/>
          <w:highlight w:val="none"/>
        </w:rPr>
        <w:t>1</w:t>
      </w:r>
      <w:r>
        <w:rPr>
          <w:rStyle w:val="68"/>
          <w:rFonts w:hint="eastAsia" w:eastAsia="黑体"/>
          <w:color w:val="auto"/>
          <w:highlight w:val="none"/>
          <w:lang w:val="en-US" w:eastAsia="zh-CN"/>
        </w:rPr>
        <w:t>2</w:t>
      </w:r>
      <w:r>
        <w:rPr>
          <w:rStyle w:val="68"/>
          <w:rFonts w:hint="eastAsia"/>
          <w:color w:val="auto"/>
          <w:highlight w:val="none"/>
        </w:rPr>
        <w:t>.1</w:t>
      </w:r>
      <w:bookmarkEnd w:id="208"/>
      <w:r>
        <w:rPr>
          <w:rStyle w:val="68"/>
          <w:rFonts w:hint="eastAsia"/>
          <w:color w:val="auto"/>
          <w:highlight w:val="none"/>
        </w:rPr>
        <w:t xml:space="preserve"> </w:t>
      </w:r>
      <w:bookmarkEnd w:id="209"/>
      <w:bookmarkEnd w:id="210"/>
      <w:r>
        <w:rPr>
          <w:rFonts w:hint="eastAsia"/>
          <w:color w:val="auto"/>
          <w:szCs w:val="21"/>
          <w:highlight w:val="none"/>
        </w:rPr>
        <w:t>单位应当制定电子会计档案利用权限规定，利用权限应在电子</w:t>
      </w:r>
      <w:r>
        <w:rPr>
          <w:rFonts w:hint="eastAsia"/>
          <w:color w:val="auto"/>
          <w:szCs w:val="21"/>
          <w:highlight w:val="none"/>
          <w:lang w:eastAsia="zh-CN"/>
        </w:rPr>
        <w:t>会计</w:t>
      </w:r>
      <w:r>
        <w:rPr>
          <w:rFonts w:hint="eastAsia"/>
          <w:color w:val="auto"/>
          <w:szCs w:val="21"/>
          <w:highlight w:val="none"/>
        </w:rPr>
        <w:t>档案管理系统中实施，并经过确认。当超权利用时必须进行审批，并保证利用过程中电子会计档案不被非法篡改。</w:t>
      </w:r>
    </w:p>
    <w:p>
      <w:pPr>
        <w:rPr>
          <w:color w:val="auto"/>
          <w:szCs w:val="21"/>
          <w:highlight w:val="none"/>
        </w:rPr>
      </w:pPr>
      <w:bookmarkStart w:id="211" w:name="_Toc66367044"/>
      <w:bookmarkStart w:id="212" w:name="_Toc802509554"/>
      <w:bookmarkStart w:id="213" w:name="_Toc1348775525"/>
      <w:r>
        <w:rPr>
          <w:rStyle w:val="68"/>
          <w:rFonts w:hint="eastAsia"/>
          <w:color w:val="auto"/>
          <w:highlight w:val="none"/>
        </w:rPr>
        <w:t>1</w:t>
      </w:r>
      <w:r>
        <w:rPr>
          <w:rStyle w:val="68"/>
          <w:rFonts w:hint="eastAsia" w:eastAsia="黑体"/>
          <w:color w:val="auto"/>
          <w:highlight w:val="none"/>
          <w:lang w:val="en-US" w:eastAsia="zh-CN"/>
        </w:rPr>
        <w:t>2</w:t>
      </w:r>
      <w:r>
        <w:rPr>
          <w:rStyle w:val="68"/>
          <w:rFonts w:hint="eastAsia"/>
          <w:color w:val="auto"/>
          <w:highlight w:val="none"/>
        </w:rPr>
        <w:t>.2</w:t>
      </w:r>
      <w:bookmarkEnd w:id="211"/>
      <w:r>
        <w:rPr>
          <w:rStyle w:val="68"/>
          <w:rFonts w:hint="eastAsia"/>
          <w:color w:val="auto"/>
          <w:highlight w:val="none"/>
        </w:rPr>
        <w:t xml:space="preserve"> </w:t>
      </w:r>
      <w:bookmarkEnd w:id="212"/>
      <w:bookmarkEnd w:id="213"/>
      <w:r>
        <w:rPr>
          <w:rFonts w:hint="eastAsia"/>
          <w:color w:val="auto"/>
          <w:szCs w:val="21"/>
          <w:highlight w:val="none"/>
        </w:rPr>
        <w:t>电子会计档案可根据授权在线或离线提供利用，利用过程应当通过日志或其他方式形成记录，记录信息包括利用人、利用方式、电子</w:t>
      </w:r>
      <w:r>
        <w:rPr>
          <w:rFonts w:hint="eastAsia"/>
          <w:color w:val="auto"/>
          <w:szCs w:val="21"/>
          <w:highlight w:val="none"/>
          <w:lang w:eastAsia="zh-CN"/>
        </w:rPr>
        <w:t>会计</w:t>
      </w:r>
      <w:r>
        <w:rPr>
          <w:rFonts w:hint="eastAsia"/>
          <w:color w:val="auto"/>
          <w:szCs w:val="21"/>
          <w:highlight w:val="none"/>
        </w:rPr>
        <w:t>档案档号、文件号、文件名、利用时间等。利用过程信息应当作为电子会计档案元数据进行保存。</w:t>
      </w:r>
    </w:p>
    <w:p>
      <w:pPr>
        <w:pStyle w:val="66"/>
        <w:numPr>
          <w:ilvl w:val="1"/>
          <w:numId w:val="0"/>
        </w:numPr>
        <w:spacing w:before="312" w:after="312"/>
        <w:ind w:leftChars="0"/>
        <w:rPr>
          <w:color w:val="auto"/>
          <w:highlight w:val="none"/>
        </w:rPr>
      </w:pPr>
      <w:bookmarkStart w:id="214" w:name="_Toc265493613"/>
      <w:r>
        <w:rPr>
          <w:rFonts w:hint="eastAsia"/>
          <w:color w:val="auto"/>
          <w:highlight w:val="none"/>
          <w:lang w:val="en-US" w:eastAsia="zh-CN"/>
        </w:rPr>
        <w:t xml:space="preserve">13  </w:t>
      </w:r>
      <w:r>
        <w:rPr>
          <w:rFonts w:hint="eastAsia"/>
          <w:color w:val="auto"/>
          <w:highlight w:val="none"/>
        </w:rPr>
        <w:t>电子会计档案的定期鉴定及处置</w:t>
      </w:r>
      <w:bookmarkEnd w:id="214"/>
    </w:p>
    <w:p>
      <w:pPr>
        <w:rPr>
          <w:color w:val="auto"/>
          <w:spacing w:val="-2"/>
          <w:szCs w:val="21"/>
          <w:highlight w:val="none"/>
        </w:rPr>
      </w:pPr>
      <w:bookmarkStart w:id="215" w:name="_Toc25980252"/>
      <w:bookmarkStart w:id="216" w:name="_Toc1534271505"/>
      <w:bookmarkStart w:id="217" w:name="_Toc66367046"/>
      <w:r>
        <w:rPr>
          <w:rStyle w:val="68"/>
          <w:rFonts w:hint="eastAsia"/>
          <w:color w:val="auto"/>
          <w:highlight w:val="none"/>
        </w:rPr>
        <w:t>1</w:t>
      </w:r>
      <w:r>
        <w:rPr>
          <w:rStyle w:val="68"/>
          <w:rFonts w:hint="eastAsia" w:eastAsia="黑体"/>
          <w:color w:val="auto"/>
          <w:highlight w:val="none"/>
          <w:lang w:val="en-US" w:eastAsia="zh-CN"/>
        </w:rPr>
        <w:t>3</w:t>
      </w:r>
      <w:r>
        <w:rPr>
          <w:rStyle w:val="68"/>
          <w:rFonts w:hint="eastAsia"/>
          <w:color w:val="auto"/>
          <w:highlight w:val="none"/>
        </w:rPr>
        <w:t>.1</w:t>
      </w:r>
      <w:bookmarkEnd w:id="215"/>
      <w:bookmarkEnd w:id="216"/>
      <w:bookmarkEnd w:id="217"/>
      <w:r>
        <w:rPr>
          <w:rFonts w:hint="eastAsia" w:cs="仿宋_GB2312"/>
          <w:color w:val="auto"/>
          <w:spacing w:val="-2"/>
          <w:szCs w:val="21"/>
          <w:highlight w:val="none"/>
        </w:rPr>
        <w:t>单位应当定期对已到保管期限的电子会计档案进行鉴定，并形成会计档案鉴定意见书。经鉴定，仍需继续保存的电子会计档案，应当重新划定保管期限；对保管期满，确无保存价值的电子会计档案，可以销毁。</w:t>
      </w:r>
    </w:p>
    <w:p>
      <w:pPr>
        <w:rPr>
          <w:color w:val="auto"/>
          <w:spacing w:val="-2"/>
          <w:szCs w:val="21"/>
          <w:highlight w:val="none"/>
        </w:rPr>
      </w:pPr>
      <w:bookmarkStart w:id="218" w:name="_Toc66367047"/>
      <w:bookmarkStart w:id="219" w:name="_Toc272504009"/>
      <w:bookmarkStart w:id="220" w:name="_Toc1644529674"/>
      <w:r>
        <w:rPr>
          <w:rStyle w:val="68"/>
          <w:rFonts w:hint="eastAsia"/>
          <w:color w:val="auto"/>
          <w:highlight w:val="none"/>
        </w:rPr>
        <w:t>1</w:t>
      </w:r>
      <w:r>
        <w:rPr>
          <w:rStyle w:val="68"/>
          <w:rFonts w:hint="eastAsia" w:eastAsia="黑体"/>
          <w:color w:val="auto"/>
          <w:highlight w:val="none"/>
          <w:lang w:val="en-US" w:eastAsia="zh-CN"/>
        </w:rPr>
        <w:t>3</w:t>
      </w:r>
      <w:r>
        <w:rPr>
          <w:rStyle w:val="68"/>
          <w:rFonts w:hint="eastAsia"/>
          <w:color w:val="auto"/>
          <w:highlight w:val="none"/>
        </w:rPr>
        <w:t>.2</w:t>
      </w:r>
      <w:bookmarkEnd w:id="218"/>
      <w:r>
        <w:rPr>
          <w:rStyle w:val="68"/>
          <w:rFonts w:hint="eastAsia"/>
          <w:color w:val="auto"/>
          <w:highlight w:val="none"/>
        </w:rPr>
        <w:t xml:space="preserve"> </w:t>
      </w:r>
      <w:bookmarkEnd w:id="219"/>
      <w:bookmarkEnd w:id="220"/>
      <w:r>
        <w:rPr>
          <w:rFonts w:hint="eastAsia"/>
          <w:color w:val="auto"/>
          <w:szCs w:val="21"/>
          <w:highlight w:val="none"/>
        </w:rPr>
        <w:t>电子</w:t>
      </w:r>
      <w:r>
        <w:rPr>
          <w:rFonts w:hint="eastAsia" w:cs="仿宋_GB2312"/>
          <w:color w:val="auto"/>
          <w:spacing w:val="-2"/>
          <w:szCs w:val="21"/>
          <w:highlight w:val="none"/>
        </w:rPr>
        <w:t>会计档案鉴定工作应当由单位档案管理机构牵头，组织单位会计、信息技术、审计、纪检监察等机构或人员共同进行。</w:t>
      </w:r>
    </w:p>
    <w:p>
      <w:pPr>
        <w:rPr>
          <w:color w:val="auto"/>
          <w:spacing w:val="-2"/>
          <w:szCs w:val="21"/>
          <w:highlight w:val="none"/>
        </w:rPr>
      </w:pPr>
      <w:bookmarkStart w:id="221" w:name="_Toc66367048"/>
      <w:bookmarkStart w:id="222" w:name="_Toc832721688"/>
      <w:bookmarkStart w:id="223" w:name="_Toc1528079629"/>
      <w:r>
        <w:rPr>
          <w:rStyle w:val="68"/>
          <w:rFonts w:hint="eastAsia"/>
          <w:color w:val="auto"/>
          <w:highlight w:val="none"/>
        </w:rPr>
        <w:t>1</w:t>
      </w:r>
      <w:r>
        <w:rPr>
          <w:rStyle w:val="68"/>
          <w:rFonts w:hint="eastAsia" w:eastAsia="黑体"/>
          <w:color w:val="auto"/>
          <w:highlight w:val="none"/>
          <w:lang w:val="en-US" w:eastAsia="zh-CN"/>
        </w:rPr>
        <w:t>3</w:t>
      </w:r>
      <w:r>
        <w:rPr>
          <w:rStyle w:val="68"/>
          <w:rFonts w:hint="eastAsia"/>
          <w:color w:val="auto"/>
          <w:highlight w:val="none"/>
        </w:rPr>
        <w:t>.3</w:t>
      </w:r>
      <w:bookmarkEnd w:id="221"/>
      <w:r>
        <w:rPr>
          <w:rStyle w:val="68"/>
          <w:rFonts w:hint="eastAsia"/>
          <w:color w:val="auto"/>
          <w:highlight w:val="none"/>
        </w:rPr>
        <w:t xml:space="preserve"> </w:t>
      </w:r>
      <w:bookmarkEnd w:id="222"/>
      <w:bookmarkEnd w:id="223"/>
      <w:r>
        <w:rPr>
          <w:rFonts w:hint="eastAsia" w:cs="仿宋_GB2312"/>
          <w:color w:val="auto"/>
          <w:spacing w:val="-2"/>
          <w:szCs w:val="21"/>
          <w:highlight w:val="none"/>
        </w:rPr>
        <w:t>经鉴定可以销毁的电子会计档案，应当按照以下程序销毁：</w:t>
      </w:r>
    </w:p>
    <w:p>
      <w:pPr>
        <w:ind w:firstLine="375" w:firstLineChars="179"/>
        <w:rPr>
          <w:color w:val="auto"/>
          <w:spacing w:val="-2"/>
          <w:szCs w:val="21"/>
          <w:highlight w:val="none"/>
        </w:rPr>
      </w:pPr>
      <w:r>
        <w:rPr>
          <w:rFonts w:hint="eastAsia"/>
          <w:color w:val="auto"/>
          <w:szCs w:val="21"/>
          <w:highlight w:val="none"/>
        </w:rPr>
        <w:t>a）</w:t>
      </w:r>
      <w:r>
        <w:rPr>
          <w:rFonts w:hint="eastAsia" w:cs="仿宋_GB2312"/>
          <w:color w:val="auto"/>
          <w:spacing w:val="-2"/>
          <w:szCs w:val="21"/>
          <w:highlight w:val="none"/>
        </w:rPr>
        <w:t>由单位档案管理机构输出电子会计档案销毁清册，列明拟销毁电子会计档案的名称、册数、起止年度、档号、应保管期限、已保管期限和销毁时间等内容。</w:t>
      </w:r>
    </w:p>
    <w:p>
      <w:pPr>
        <w:ind w:firstLine="412" w:firstLineChars="200"/>
        <w:rPr>
          <w:rFonts w:cs="仿宋_GB2312"/>
          <w:color w:val="auto"/>
          <w:spacing w:val="-2"/>
          <w:szCs w:val="21"/>
          <w:highlight w:val="none"/>
        </w:rPr>
      </w:pPr>
      <w:r>
        <w:rPr>
          <w:rFonts w:hint="eastAsia" w:cs="仿宋_GB2312"/>
          <w:color w:val="auto"/>
          <w:spacing w:val="-2"/>
          <w:szCs w:val="21"/>
          <w:highlight w:val="none"/>
        </w:rPr>
        <w:t>b）单位负责人、档案管理机构负责人、会计管理机构负责人、档案管理机构经办人、会计管理机构经办人在电子会计档案销毁清册上签署意见。</w:t>
      </w:r>
    </w:p>
    <w:p>
      <w:pPr>
        <w:ind w:firstLine="412" w:firstLineChars="200"/>
        <w:rPr>
          <w:color w:val="auto"/>
          <w:spacing w:val="-2"/>
          <w:szCs w:val="21"/>
          <w:highlight w:val="none"/>
        </w:rPr>
      </w:pPr>
      <w:r>
        <w:rPr>
          <w:rFonts w:hint="eastAsia" w:cs="仿宋_GB2312"/>
          <w:color w:val="auto"/>
          <w:spacing w:val="-2"/>
          <w:szCs w:val="21"/>
          <w:highlight w:val="none"/>
        </w:rPr>
        <w:t>c）</w:t>
      </w:r>
      <w:r>
        <w:rPr>
          <w:rFonts w:hint="eastAsia" w:cs="仿宋_GB2312"/>
          <w:color w:val="auto"/>
          <w:spacing w:val="-2"/>
          <w:szCs w:val="21"/>
          <w:highlight w:val="none"/>
          <w:lang w:eastAsia="zh-CN"/>
        </w:rPr>
        <w:t>单位档案管理机构负责组织电子会计档案销毁工作，并与会计管理机构共同派员监销。</w:t>
      </w:r>
      <w:r>
        <w:rPr>
          <w:rFonts w:hint="eastAsia"/>
          <w:color w:val="auto"/>
          <w:szCs w:val="21"/>
          <w:highlight w:val="none"/>
        </w:rPr>
        <w:t>电子会计档案销毁应当通过物理删除的方式进行，并进行可恢复性验证，销毁清册及记录宜输出纸质文件保存。</w:t>
      </w:r>
    </w:p>
    <w:p>
      <w:pPr>
        <w:rPr>
          <w:color w:val="auto"/>
          <w:szCs w:val="21"/>
          <w:highlight w:val="none"/>
        </w:rPr>
      </w:pPr>
      <w:bookmarkStart w:id="224" w:name="_Toc66367049"/>
      <w:bookmarkStart w:id="225" w:name="_Toc682256213"/>
      <w:bookmarkStart w:id="226" w:name="_Toc1284173047"/>
      <w:r>
        <w:rPr>
          <w:rStyle w:val="68"/>
          <w:rFonts w:hint="eastAsia"/>
          <w:color w:val="auto"/>
          <w:highlight w:val="none"/>
        </w:rPr>
        <w:t>1</w:t>
      </w:r>
      <w:r>
        <w:rPr>
          <w:rStyle w:val="68"/>
          <w:rFonts w:hint="eastAsia" w:eastAsia="黑体"/>
          <w:color w:val="auto"/>
          <w:highlight w:val="none"/>
          <w:lang w:val="en-US" w:eastAsia="zh-CN"/>
        </w:rPr>
        <w:t>3</w:t>
      </w:r>
      <w:r>
        <w:rPr>
          <w:rStyle w:val="68"/>
          <w:rFonts w:hint="eastAsia"/>
          <w:color w:val="auto"/>
          <w:highlight w:val="none"/>
        </w:rPr>
        <w:t>.4</w:t>
      </w:r>
      <w:bookmarkEnd w:id="224"/>
      <w:r>
        <w:rPr>
          <w:rStyle w:val="68"/>
          <w:rFonts w:hint="eastAsia"/>
          <w:color w:val="auto"/>
          <w:highlight w:val="none"/>
        </w:rPr>
        <w:t xml:space="preserve"> </w:t>
      </w:r>
      <w:bookmarkEnd w:id="225"/>
      <w:bookmarkEnd w:id="226"/>
      <w:r>
        <w:rPr>
          <w:rFonts w:hint="eastAsia" w:cs="仿宋_GB2312"/>
          <w:color w:val="auto"/>
          <w:spacing w:val="-2"/>
          <w:szCs w:val="21"/>
          <w:highlight w:val="none"/>
        </w:rPr>
        <w:t>保管期满但未结清债权债务和涉及其他未了事项的电子会计档案不得销毁，应当单独转存，直至未了事项完结为止。单独抽出立卷或转存的电子会计档案，应当在电子会计档案鉴定意见书、电子会计档案销毁清册和电子会计档案保管清册中列明。</w:t>
      </w:r>
    </w:p>
    <w:p>
      <w:pPr>
        <w:rPr>
          <w:color w:val="auto"/>
          <w:szCs w:val="21"/>
          <w:highlight w:val="none"/>
        </w:rPr>
      </w:pPr>
      <w:bookmarkStart w:id="227" w:name="_Toc66367050"/>
      <w:bookmarkStart w:id="228" w:name="_Toc540575122"/>
      <w:bookmarkStart w:id="229" w:name="_Toc574883440"/>
      <w:r>
        <w:rPr>
          <w:rStyle w:val="68"/>
          <w:rFonts w:hint="eastAsia"/>
          <w:color w:val="auto"/>
          <w:highlight w:val="none"/>
        </w:rPr>
        <w:t>1</w:t>
      </w:r>
      <w:r>
        <w:rPr>
          <w:rStyle w:val="68"/>
          <w:rFonts w:hint="eastAsia" w:eastAsia="黑体"/>
          <w:color w:val="auto"/>
          <w:highlight w:val="none"/>
          <w:lang w:val="en-US" w:eastAsia="zh-CN"/>
        </w:rPr>
        <w:t>3</w:t>
      </w:r>
      <w:r>
        <w:rPr>
          <w:rStyle w:val="68"/>
          <w:rFonts w:hint="eastAsia"/>
          <w:color w:val="auto"/>
          <w:highlight w:val="none"/>
        </w:rPr>
        <w:t>.5</w:t>
      </w:r>
      <w:bookmarkEnd w:id="227"/>
      <w:r>
        <w:rPr>
          <w:rStyle w:val="68"/>
          <w:rFonts w:hint="eastAsia"/>
          <w:color w:val="auto"/>
          <w:highlight w:val="none"/>
        </w:rPr>
        <w:t xml:space="preserve"> </w:t>
      </w:r>
      <w:bookmarkEnd w:id="228"/>
      <w:bookmarkEnd w:id="229"/>
      <w:r>
        <w:rPr>
          <w:rFonts w:hint="eastAsia"/>
          <w:color w:val="auto"/>
          <w:szCs w:val="21"/>
          <w:highlight w:val="none"/>
        </w:rPr>
        <w:t>单位应当按照国家有关规定及时将应进馆的电子档案及其元数据移交进馆。移交方法参见《电子档案移交与接收办法》（档发</w:t>
      </w:r>
      <w:r>
        <w:rPr>
          <w:rFonts w:hint="eastAsia" w:eastAsia="宋体"/>
          <w:color w:val="auto"/>
          <w:szCs w:val="21"/>
          <w:highlight w:val="none"/>
        </w:rPr>
        <w:t>﹝202</w:t>
      </w:r>
      <w:r>
        <w:rPr>
          <w:rFonts w:hint="eastAsia" w:eastAsia="宋体"/>
          <w:color w:val="auto"/>
          <w:szCs w:val="21"/>
          <w:highlight w:val="none"/>
          <w:lang w:val="en-US" w:eastAsia="zh-CN"/>
        </w:rPr>
        <w:t>1</w:t>
      </w:r>
      <w:r>
        <w:rPr>
          <w:rFonts w:hint="eastAsia" w:eastAsia="宋体"/>
          <w:color w:val="auto"/>
          <w:szCs w:val="21"/>
          <w:highlight w:val="none"/>
        </w:rPr>
        <w:t>﹞</w:t>
      </w:r>
      <w:r>
        <w:rPr>
          <w:rFonts w:hint="eastAsia"/>
          <w:color w:val="auto"/>
          <w:szCs w:val="21"/>
          <w:highlight w:val="none"/>
        </w:rPr>
        <w:t>7号）。</w:t>
      </w:r>
    </w:p>
    <w:p>
      <w:pPr>
        <w:pStyle w:val="66"/>
        <w:numPr>
          <w:ilvl w:val="1"/>
          <w:numId w:val="0"/>
        </w:numPr>
        <w:spacing w:before="312" w:after="312"/>
        <w:ind w:leftChars="0"/>
        <w:rPr>
          <w:color w:val="auto"/>
          <w:highlight w:val="none"/>
        </w:rPr>
      </w:pPr>
      <w:bookmarkStart w:id="230" w:name="_Toc330618853"/>
      <w:r>
        <w:rPr>
          <w:rFonts w:hint="eastAsia"/>
          <w:color w:val="auto"/>
          <w:highlight w:val="none"/>
          <w:lang w:val="en-US" w:eastAsia="zh-CN"/>
        </w:rPr>
        <w:t xml:space="preserve">14  </w:t>
      </w:r>
      <w:r>
        <w:rPr>
          <w:rFonts w:hint="eastAsia"/>
          <w:color w:val="auto"/>
          <w:highlight w:val="none"/>
        </w:rPr>
        <w:t>元数据管理</w:t>
      </w:r>
      <w:bookmarkEnd w:id="230"/>
    </w:p>
    <w:p>
      <w:pPr>
        <w:rPr>
          <w:color w:val="auto"/>
          <w:szCs w:val="21"/>
          <w:highlight w:val="none"/>
        </w:rPr>
      </w:pPr>
      <w:bookmarkStart w:id="231" w:name="_Toc437616906"/>
      <w:bookmarkStart w:id="232" w:name="_Toc66367052"/>
      <w:bookmarkStart w:id="233" w:name="_Toc239428652"/>
      <w:bookmarkStart w:id="234" w:name="_Toc1193812259"/>
      <w:r>
        <w:rPr>
          <w:rStyle w:val="68"/>
          <w:rFonts w:hint="eastAsia"/>
          <w:color w:val="auto"/>
          <w:highlight w:val="none"/>
        </w:rPr>
        <w:t>1</w:t>
      </w:r>
      <w:r>
        <w:rPr>
          <w:rStyle w:val="68"/>
          <w:rFonts w:hint="eastAsia" w:eastAsia="黑体"/>
          <w:color w:val="auto"/>
          <w:highlight w:val="none"/>
          <w:lang w:val="en-US" w:eastAsia="zh-CN"/>
        </w:rPr>
        <w:t>4</w:t>
      </w:r>
      <w:r>
        <w:rPr>
          <w:rStyle w:val="68"/>
          <w:rFonts w:hint="eastAsia"/>
          <w:color w:val="auto"/>
          <w:highlight w:val="none"/>
        </w:rPr>
        <w:t>.1</w:t>
      </w:r>
      <w:bookmarkEnd w:id="231"/>
      <w:bookmarkEnd w:id="232"/>
      <w:r>
        <w:rPr>
          <w:rStyle w:val="68"/>
          <w:rFonts w:hint="eastAsia"/>
          <w:color w:val="auto"/>
          <w:highlight w:val="none"/>
        </w:rPr>
        <w:t xml:space="preserve"> </w:t>
      </w:r>
      <w:bookmarkEnd w:id="233"/>
      <w:bookmarkEnd w:id="234"/>
      <w:r>
        <w:rPr>
          <w:color w:val="auto"/>
          <w:szCs w:val="21"/>
          <w:highlight w:val="none"/>
        </w:rPr>
        <w:t>元数据是电子</w:t>
      </w:r>
      <w:r>
        <w:rPr>
          <w:rFonts w:hint="eastAsia"/>
          <w:color w:val="auto"/>
          <w:szCs w:val="21"/>
          <w:highlight w:val="none"/>
        </w:rPr>
        <w:t>会计</w:t>
      </w:r>
      <w:r>
        <w:rPr>
          <w:color w:val="auto"/>
          <w:szCs w:val="21"/>
          <w:highlight w:val="none"/>
        </w:rPr>
        <w:t>档案不可缺少的</w:t>
      </w:r>
      <w:r>
        <w:rPr>
          <w:rFonts w:hint="eastAsia"/>
          <w:color w:val="auto"/>
          <w:szCs w:val="21"/>
          <w:highlight w:val="none"/>
        </w:rPr>
        <w:t>组成</w:t>
      </w:r>
      <w:r>
        <w:rPr>
          <w:color w:val="auto"/>
          <w:szCs w:val="21"/>
          <w:highlight w:val="none"/>
        </w:rPr>
        <w:t>部分，在电子</w:t>
      </w:r>
      <w:r>
        <w:rPr>
          <w:rFonts w:hint="eastAsia"/>
          <w:color w:val="auto"/>
          <w:szCs w:val="21"/>
          <w:highlight w:val="none"/>
        </w:rPr>
        <w:t>会计资料</w:t>
      </w:r>
      <w:r>
        <w:rPr>
          <w:color w:val="auto"/>
          <w:szCs w:val="21"/>
          <w:highlight w:val="none"/>
        </w:rPr>
        <w:t>归档和电子</w:t>
      </w:r>
      <w:r>
        <w:rPr>
          <w:rFonts w:hint="eastAsia"/>
          <w:color w:val="auto"/>
          <w:szCs w:val="21"/>
          <w:highlight w:val="none"/>
        </w:rPr>
        <w:t>会计</w:t>
      </w:r>
      <w:r>
        <w:rPr>
          <w:color w:val="auto"/>
          <w:szCs w:val="21"/>
          <w:highlight w:val="none"/>
        </w:rPr>
        <w:t>档案管理中具有重要作用，应</w:t>
      </w:r>
      <w:r>
        <w:rPr>
          <w:rFonts w:hint="eastAsia"/>
          <w:color w:val="auto"/>
          <w:szCs w:val="21"/>
          <w:highlight w:val="none"/>
        </w:rPr>
        <w:t>在</w:t>
      </w:r>
      <w:r>
        <w:rPr>
          <w:color w:val="auto"/>
          <w:szCs w:val="21"/>
          <w:highlight w:val="none"/>
        </w:rPr>
        <w:t>电子</w:t>
      </w:r>
      <w:r>
        <w:rPr>
          <w:rFonts w:hint="eastAsia"/>
          <w:color w:val="auto"/>
          <w:szCs w:val="21"/>
          <w:highlight w:val="none"/>
        </w:rPr>
        <w:t>会计资料归档和</w:t>
      </w:r>
      <w:r>
        <w:rPr>
          <w:color w:val="auto"/>
          <w:szCs w:val="21"/>
          <w:highlight w:val="none"/>
        </w:rPr>
        <w:t>电子</w:t>
      </w:r>
      <w:r>
        <w:rPr>
          <w:rFonts w:hint="eastAsia"/>
          <w:color w:val="auto"/>
          <w:szCs w:val="21"/>
          <w:highlight w:val="none"/>
        </w:rPr>
        <w:t>会计</w:t>
      </w:r>
      <w:r>
        <w:rPr>
          <w:color w:val="auto"/>
          <w:szCs w:val="21"/>
          <w:highlight w:val="none"/>
        </w:rPr>
        <w:t>档案</w:t>
      </w:r>
      <w:r>
        <w:rPr>
          <w:rFonts w:hint="eastAsia"/>
          <w:color w:val="auto"/>
          <w:szCs w:val="21"/>
          <w:highlight w:val="none"/>
        </w:rPr>
        <w:t>管理过程中</w:t>
      </w:r>
      <w:r>
        <w:rPr>
          <w:color w:val="auto"/>
          <w:szCs w:val="21"/>
          <w:highlight w:val="none"/>
        </w:rPr>
        <w:t>同时</w:t>
      </w:r>
      <w:r>
        <w:rPr>
          <w:rFonts w:hint="eastAsia"/>
          <w:color w:val="auto"/>
          <w:szCs w:val="21"/>
          <w:highlight w:val="none"/>
        </w:rPr>
        <w:t>捕获、</w:t>
      </w:r>
      <w:r>
        <w:rPr>
          <w:color w:val="auto"/>
          <w:szCs w:val="21"/>
          <w:highlight w:val="none"/>
        </w:rPr>
        <w:t>归档</w:t>
      </w:r>
      <w:r>
        <w:rPr>
          <w:rFonts w:hint="eastAsia"/>
          <w:color w:val="auto"/>
          <w:szCs w:val="21"/>
          <w:highlight w:val="none"/>
        </w:rPr>
        <w:t>和管理</w:t>
      </w:r>
      <w:r>
        <w:rPr>
          <w:color w:val="auto"/>
          <w:szCs w:val="21"/>
          <w:highlight w:val="none"/>
        </w:rPr>
        <w:t>。</w:t>
      </w:r>
    </w:p>
    <w:p>
      <w:pPr>
        <w:rPr>
          <w:color w:val="auto"/>
          <w:szCs w:val="21"/>
          <w:highlight w:val="none"/>
        </w:rPr>
      </w:pPr>
      <w:bookmarkStart w:id="235" w:name="_Toc66367053"/>
      <w:bookmarkStart w:id="236" w:name="_Toc1758869836"/>
      <w:bookmarkStart w:id="237" w:name="_Toc1624550316"/>
      <w:r>
        <w:rPr>
          <w:rStyle w:val="68"/>
          <w:rFonts w:hint="eastAsia"/>
          <w:color w:val="auto"/>
          <w:highlight w:val="none"/>
        </w:rPr>
        <w:t>1</w:t>
      </w:r>
      <w:r>
        <w:rPr>
          <w:rStyle w:val="68"/>
          <w:rFonts w:hint="eastAsia" w:eastAsia="黑体"/>
          <w:color w:val="auto"/>
          <w:highlight w:val="none"/>
          <w:lang w:val="en-US" w:eastAsia="zh-CN"/>
        </w:rPr>
        <w:t>4</w:t>
      </w:r>
      <w:r>
        <w:rPr>
          <w:rStyle w:val="68"/>
          <w:rFonts w:hint="eastAsia"/>
          <w:color w:val="auto"/>
          <w:highlight w:val="none"/>
        </w:rPr>
        <w:t>.2</w:t>
      </w:r>
      <w:bookmarkEnd w:id="235"/>
      <w:r>
        <w:rPr>
          <w:rStyle w:val="68"/>
          <w:rFonts w:hint="eastAsia"/>
          <w:color w:val="auto"/>
          <w:highlight w:val="none"/>
        </w:rPr>
        <w:t xml:space="preserve"> </w:t>
      </w:r>
      <w:bookmarkEnd w:id="236"/>
      <w:bookmarkEnd w:id="237"/>
      <w:r>
        <w:rPr>
          <w:color w:val="auto"/>
          <w:szCs w:val="21"/>
          <w:highlight w:val="none"/>
        </w:rPr>
        <w:t>系统开发时应对元数据捕获节点进行规划，明确</w:t>
      </w:r>
      <w:r>
        <w:rPr>
          <w:rFonts w:hint="eastAsia"/>
          <w:color w:val="auto"/>
          <w:szCs w:val="21"/>
          <w:highlight w:val="none"/>
        </w:rPr>
        <w:t>会计核算</w:t>
      </w:r>
      <w:r>
        <w:rPr>
          <w:color w:val="auto"/>
          <w:szCs w:val="21"/>
          <w:highlight w:val="none"/>
        </w:rPr>
        <w:t>系统、电子</w:t>
      </w:r>
      <w:r>
        <w:rPr>
          <w:rFonts w:hint="eastAsia"/>
          <w:color w:val="auto"/>
          <w:szCs w:val="21"/>
          <w:highlight w:val="none"/>
        </w:rPr>
        <w:t>会计</w:t>
      </w:r>
      <w:r>
        <w:rPr>
          <w:color w:val="auto"/>
          <w:szCs w:val="21"/>
          <w:highlight w:val="none"/>
        </w:rPr>
        <w:t>档案管理系统需捕获的元数据项及其捕获方式，</w:t>
      </w:r>
      <w:r>
        <w:rPr>
          <w:rFonts w:hint="eastAsia"/>
          <w:color w:val="auto"/>
          <w:szCs w:val="21"/>
          <w:highlight w:val="none"/>
        </w:rPr>
        <w:t>具体参见附录C。</w:t>
      </w:r>
    </w:p>
    <w:p>
      <w:pPr>
        <w:pStyle w:val="66"/>
        <w:numPr>
          <w:ilvl w:val="1"/>
          <w:numId w:val="0"/>
        </w:numPr>
        <w:spacing w:before="312" w:after="312"/>
        <w:ind w:leftChars="0"/>
        <w:rPr>
          <w:color w:val="auto"/>
          <w:highlight w:val="none"/>
        </w:rPr>
      </w:pPr>
      <w:bookmarkStart w:id="238" w:name="_Toc2117385578"/>
      <w:r>
        <w:rPr>
          <w:rFonts w:hint="eastAsia"/>
          <w:color w:val="auto"/>
          <w:highlight w:val="none"/>
          <w:lang w:val="en-US" w:eastAsia="zh-CN"/>
        </w:rPr>
        <w:t xml:space="preserve">15  </w:t>
      </w:r>
      <w:r>
        <w:rPr>
          <w:rFonts w:hint="eastAsia"/>
          <w:color w:val="auto"/>
          <w:highlight w:val="none"/>
        </w:rPr>
        <w:t>会计核算系统及电子会计档案管理系统建设</w:t>
      </w:r>
      <w:bookmarkEnd w:id="238"/>
    </w:p>
    <w:p>
      <w:pPr>
        <w:rPr>
          <w:color w:val="auto"/>
          <w:szCs w:val="21"/>
          <w:highlight w:val="none"/>
        </w:rPr>
      </w:pPr>
      <w:bookmarkStart w:id="239" w:name="_Toc437616882"/>
      <w:bookmarkStart w:id="240" w:name="_Toc66367055"/>
      <w:bookmarkStart w:id="241" w:name="_Toc683642684"/>
      <w:bookmarkStart w:id="242" w:name="_Toc841991960"/>
      <w:r>
        <w:rPr>
          <w:rStyle w:val="68"/>
          <w:rFonts w:hint="eastAsia"/>
          <w:color w:val="auto"/>
          <w:highlight w:val="none"/>
        </w:rPr>
        <w:t>1</w:t>
      </w:r>
      <w:r>
        <w:rPr>
          <w:rStyle w:val="68"/>
          <w:rFonts w:hint="eastAsia" w:eastAsia="黑体"/>
          <w:color w:val="auto"/>
          <w:highlight w:val="none"/>
          <w:lang w:val="en-US" w:eastAsia="zh-CN"/>
        </w:rPr>
        <w:t>5</w:t>
      </w:r>
      <w:r>
        <w:rPr>
          <w:rStyle w:val="68"/>
          <w:rFonts w:hint="eastAsia"/>
          <w:color w:val="auto"/>
          <w:highlight w:val="none"/>
        </w:rPr>
        <w:t>.1</w:t>
      </w:r>
      <w:bookmarkEnd w:id="239"/>
      <w:bookmarkEnd w:id="240"/>
      <w:r>
        <w:rPr>
          <w:rStyle w:val="68"/>
          <w:rFonts w:hint="eastAsia"/>
          <w:color w:val="auto"/>
          <w:highlight w:val="none"/>
        </w:rPr>
        <w:t xml:space="preserve"> </w:t>
      </w:r>
      <w:bookmarkEnd w:id="241"/>
      <w:bookmarkEnd w:id="242"/>
      <w:r>
        <w:rPr>
          <w:rFonts w:hint="eastAsia"/>
          <w:color w:val="auto"/>
          <w:szCs w:val="21"/>
          <w:highlight w:val="none"/>
        </w:rPr>
        <w:t>单位</w:t>
      </w:r>
      <w:r>
        <w:rPr>
          <w:color w:val="auto"/>
          <w:szCs w:val="21"/>
          <w:highlight w:val="none"/>
        </w:rPr>
        <w:t>在</w:t>
      </w:r>
      <w:r>
        <w:rPr>
          <w:rFonts w:hint="eastAsia"/>
          <w:color w:val="auto"/>
          <w:szCs w:val="21"/>
          <w:highlight w:val="none"/>
        </w:rPr>
        <w:t>会计核算</w:t>
      </w:r>
      <w:r>
        <w:rPr>
          <w:color w:val="auto"/>
          <w:szCs w:val="21"/>
          <w:highlight w:val="none"/>
        </w:rPr>
        <w:t>系统建设时应</w:t>
      </w:r>
      <w:r>
        <w:rPr>
          <w:rFonts w:hint="eastAsia"/>
          <w:color w:val="auto"/>
          <w:szCs w:val="21"/>
          <w:highlight w:val="none"/>
        </w:rPr>
        <w:t>当</w:t>
      </w:r>
      <w:r>
        <w:rPr>
          <w:color w:val="auto"/>
          <w:szCs w:val="21"/>
          <w:highlight w:val="none"/>
        </w:rPr>
        <w:t>充分考虑电子</w:t>
      </w:r>
      <w:r>
        <w:rPr>
          <w:rFonts w:hint="eastAsia"/>
          <w:color w:val="auto"/>
          <w:szCs w:val="21"/>
          <w:highlight w:val="none"/>
        </w:rPr>
        <w:t>会计资料</w:t>
      </w:r>
      <w:r>
        <w:rPr>
          <w:color w:val="auto"/>
          <w:szCs w:val="21"/>
          <w:highlight w:val="none"/>
        </w:rPr>
        <w:t>归档</w:t>
      </w:r>
      <w:r>
        <w:rPr>
          <w:rFonts w:hint="eastAsia"/>
          <w:color w:val="auto"/>
          <w:szCs w:val="21"/>
          <w:highlight w:val="none"/>
        </w:rPr>
        <w:t>要求。</w:t>
      </w:r>
    </w:p>
    <w:p>
      <w:pPr>
        <w:ind w:firstLine="373" w:firstLineChars="178"/>
        <w:rPr>
          <w:color w:val="auto"/>
          <w:szCs w:val="21"/>
          <w:highlight w:val="none"/>
        </w:rPr>
      </w:pPr>
      <w:r>
        <w:rPr>
          <w:rFonts w:hint="eastAsia"/>
          <w:color w:val="auto"/>
          <w:szCs w:val="21"/>
          <w:highlight w:val="none"/>
        </w:rPr>
        <w:t>a</w:t>
      </w:r>
      <w:r>
        <w:rPr>
          <w:color w:val="auto"/>
          <w:szCs w:val="21"/>
          <w:highlight w:val="none"/>
        </w:rPr>
        <w:t>）选择合适的电子</w:t>
      </w:r>
      <w:r>
        <w:rPr>
          <w:rFonts w:hint="eastAsia"/>
          <w:color w:val="auto"/>
          <w:szCs w:val="21"/>
          <w:highlight w:val="none"/>
        </w:rPr>
        <w:t>会计资料</w:t>
      </w:r>
      <w:r>
        <w:rPr>
          <w:color w:val="auto"/>
          <w:szCs w:val="21"/>
          <w:highlight w:val="none"/>
        </w:rPr>
        <w:t>存储格式，以</w:t>
      </w:r>
      <w:r>
        <w:rPr>
          <w:rFonts w:hint="eastAsia"/>
          <w:color w:val="auto"/>
          <w:szCs w:val="21"/>
          <w:highlight w:val="none"/>
        </w:rPr>
        <w:t>便</w:t>
      </w:r>
      <w:r>
        <w:rPr>
          <w:color w:val="auto"/>
          <w:szCs w:val="21"/>
          <w:highlight w:val="none"/>
        </w:rPr>
        <w:t>于向电子</w:t>
      </w:r>
      <w:r>
        <w:rPr>
          <w:rFonts w:hint="eastAsia"/>
          <w:color w:val="auto"/>
          <w:szCs w:val="21"/>
          <w:highlight w:val="none"/>
        </w:rPr>
        <w:t>会计</w:t>
      </w:r>
      <w:r>
        <w:rPr>
          <w:color w:val="auto"/>
          <w:szCs w:val="21"/>
          <w:highlight w:val="none"/>
        </w:rPr>
        <w:t>档案存储格式转换</w:t>
      </w:r>
      <w:r>
        <w:rPr>
          <w:rFonts w:hint="eastAsia"/>
          <w:color w:val="auto"/>
          <w:szCs w:val="21"/>
          <w:highlight w:val="none"/>
        </w:rPr>
        <w:t>。</w:t>
      </w:r>
      <w:r>
        <w:rPr>
          <w:color w:val="auto"/>
          <w:szCs w:val="21"/>
          <w:highlight w:val="none"/>
        </w:rPr>
        <w:t>为保证电子</w:t>
      </w:r>
      <w:r>
        <w:rPr>
          <w:rFonts w:hint="eastAsia"/>
          <w:color w:val="auto"/>
          <w:szCs w:val="21"/>
          <w:highlight w:val="none"/>
        </w:rPr>
        <w:t>会计资料</w:t>
      </w:r>
      <w:r>
        <w:rPr>
          <w:color w:val="auto"/>
          <w:szCs w:val="21"/>
          <w:highlight w:val="none"/>
        </w:rPr>
        <w:t>的顺利归档，系统实施时尽可能采用符合归档要求的数据结构和文件存储格式作为系统运行时的存储格式，如确无法采用符合归档要求的格式，应</w:t>
      </w:r>
      <w:r>
        <w:rPr>
          <w:rFonts w:hint="eastAsia"/>
          <w:color w:val="auto"/>
          <w:szCs w:val="21"/>
          <w:highlight w:val="none"/>
        </w:rPr>
        <w:t>当</w:t>
      </w:r>
      <w:r>
        <w:rPr>
          <w:color w:val="auto"/>
          <w:szCs w:val="21"/>
          <w:highlight w:val="none"/>
        </w:rPr>
        <w:t>在系统实施时对所运用的数据结构和文件存储格式进行归档格式可转换性评估</w:t>
      </w:r>
      <w:r>
        <w:rPr>
          <w:rFonts w:hint="eastAsia"/>
          <w:color w:val="auto"/>
          <w:szCs w:val="21"/>
          <w:highlight w:val="none"/>
        </w:rPr>
        <w:t>，评估为无法转换或风险较大</w:t>
      </w:r>
      <w:r>
        <w:rPr>
          <w:color w:val="auto"/>
          <w:szCs w:val="21"/>
          <w:highlight w:val="none"/>
        </w:rPr>
        <w:t>的业务系统应</w:t>
      </w:r>
      <w:r>
        <w:rPr>
          <w:rFonts w:hint="eastAsia"/>
          <w:color w:val="auto"/>
          <w:szCs w:val="21"/>
          <w:highlight w:val="none"/>
        </w:rPr>
        <w:t>当</w:t>
      </w:r>
      <w:r>
        <w:rPr>
          <w:color w:val="auto"/>
          <w:szCs w:val="21"/>
          <w:highlight w:val="none"/>
        </w:rPr>
        <w:t>谨慎使用。</w:t>
      </w:r>
    </w:p>
    <w:p>
      <w:pPr>
        <w:ind w:firstLine="373" w:firstLineChars="178"/>
        <w:rPr>
          <w:color w:val="auto"/>
          <w:szCs w:val="21"/>
          <w:highlight w:val="none"/>
        </w:rPr>
      </w:pPr>
      <w:r>
        <w:rPr>
          <w:rFonts w:hint="eastAsia"/>
          <w:color w:val="auto"/>
          <w:szCs w:val="21"/>
          <w:highlight w:val="none"/>
        </w:rPr>
        <w:t>b</w:t>
      </w:r>
      <w:r>
        <w:rPr>
          <w:color w:val="auto"/>
          <w:szCs w:val="21"/>
          <w:highlight w:val="none"/>
        </w:rPr>
        <w:t>）对</w:t>
      </w:r>
      <w:r>
        <w:rPr>
          <w:rFonts w:hint="eastAsia"/>
          <w:color w:val="auto"/>
          <w:szCs w:val="21"/>
          <w:highlight w:val="none"/>
        </w:rPr>
        <w:t>电子会计资料在会计核算</w:t>
      </w:r>
      <w:r>
        <w:rPr>
          <w:color w:val="auto"/>
          <w:szCs w:val="21"/>
          <w:highlight w:val="none"/>
        </w:rPr>
        <w:t>系统</w:t>
      </w:r>
      <w:r>
        <w:rPr>
          <w:rFonts w:hint="eastAsia"/>
          <w:color w:val="auto"/>
          <w:szCs w:val="21"/>
          <w:highlight w:val="none"/>
        </w:rPr>
        <w:t>中的</w:t>
      </w:r>
      <w:r>
        <w:rPr>
          <w:color w:val="auto"/>
          <w:szCs w:val="21"/>
          <w:highlight w:val="none"/>
        </w:rPr>
        <w:t>元数据捕获节点与</w:t>
      </w:r>
      <w:r>
        <w:rPr>
          <w:rFonts w:hint="eastAsia"/>
          <w:color w:val="auto"/>
          <w:szCs w:val="21"/>
          <w:highlight w:val="none"/>
        </w:rPr>
        <w:t>元素</w:t>
      </w:r>
      <w:r>
        <w:rPr>
          <w:color w:val="auto"/>
          <w:szCs w:val="21"/>
          <w:highlight w:val="none"/>
        </w:rPr>
        <w:t>进行规划，将应由</w:t>
      </w:r>
      <w:r>
        <w:rPr>
          <w:rFonts w:hint="eastAsia"/>
          <w:color w:val="auto"/>
          <w:szCs w:val="21"/>
          <w:highlight w:val="none"/>
        </w:rPr>
        <w:t>会计核算</w:t>
      </w:r>
      <w:r>
        <w:rPr>
          <w:color w:val="auto"/>
          <w:szCs w:val="21"/>
          <w:highlight w:val="none"/>
        </w:rPr>
        <w:t>系统捕获的</w:t>
      </w:r>
      <w:r>
        <w:rPr>
          <w:rFonts w:hint="eastAsia"/>
          <w:color w:val="auto"/>
          <w:szCs w:val="21"/>
          <w:highlight w:val="none"/>
        </w:rPr>
        <w:t>电子会计资料</w:t>
      </w:r>
      <w:r>
        <w:rPr>
          <w:color w:val="auto"/>
          <w:szCs w:val="21"/>
          <w:highlight w:val="none"/>
        </w:rPr>
        <w:t>元数据全部形成并捕获。有关要求可参考本</w:t>
      </w:r>
      <w:r>
        <w:rPr>
          <w:rFonts w:hint="eastAsia"/>
          <w:color w:val="auto"/>
          <w:szCs w:val="21"/>
          <w:highlight w:val="none"/>
        </w:rPr>
        <w:t>标准附录C</w:t>
      </w:r>
      <w:r>
        <w:rPr>
          <w:color w:val="auto"/>
          <w:szCs w:val="21"/>
          <w:highlight w:val="none"/>
        </w:rPr>
        <w:t>。</w:t>
      </w:r>
    </w:p>
    <w:p>
      <w:pPr>
        <w:ind w:firstLine="373" w:firstLineChars="178"/>
        <w:rPr>
          <w:color w:val="auto"/>
          <w:szCs w:val="21"/>
          <w:highlight w:val="none"/>
        </w:rPr>
      </w:pPr>
      <w:r>
        <w:rPr>
          <w:rFonts w:hint="eastAsia"/>
          <w:color w:val="auto"/>
          <w:szCs w:val="21"/>
          <w:highlight w:val="none"/>
        </w:rPr>
        <w:t>c</w:t>
      </w:r>
      <w:r>
        <w:rPr>
          <w:color w:val="auto"/>
          <w:szCs w:val="21"/>
          <w:highlight w:val="none"/>
        </w:rPr>
        <w:t>）根据系统技术架构选择可行的电子</w:t>
      </w:r>
      <w:r>
        <w:rPr>
          <w:rFonts w:hint="eastAsia"/>
          <w:color w:val="auto"/>
          <w:szCs w:val="21"/>
          <w:highlight w:val="none"/>
        </w:rPr>
        <w:t>会计资料输出</w:t>
      </w:r>
      <w:r>
        <w:rPr>
          <w:color w:val="auto"/>
          <w:szCs w:val="21"/>
          <w:highlight w:val="none"/>
        </w:rPr>
        <w:t>方式，具体</w:t>
      </w:r>
      <w:r>
        <w:rPr>
          <w:rFonts w:hint="eastAsia"/>
          <w:color w:val="auto"/>
          <w:szCs w:val="21"/>
          <w:highlight w:val="none"/>
        </w:rPr>
        <w:t>参照</w:t>
      </w:r>
      <w:r>
        <w:rPr>
          <w:color w:val="auto"/>
          <w:szCs w:val="21"/>
          <w:highlight w:val="none"/>
        </w:rPr>
        <w:t>本</w:t>
      </w:r>
      <w:r>
        <w:rPr>
          <w:rFonts w:hint="eastAsia"/>
          <w:color w:val="auto"/>
          <w:szCs w:val="21"/>
          <w:highlight w:val="none"/>
        </w:rPr>
        <w:t>标准附录D</w:t>
      </w:r>
      <w:r>
        <w:rPr>
          <w:color w:val="auto"/>
          <w:szCs w:val="21"/>
          <w:highlight w:val="none"/>
        </w:rPr>
        <w:t>。</w:t>
      </w:r>
    </w:p>
    <w:p>
      <w:pPr>
        <w:ind w:firstLine="373" w:firstLineChars="178"/>
        <w:rPr>
          <w:color w:val="auto"/>
          <w:szCs w:val="21"/>
          <w:highlight w:val="none"/>
        </w:rPr>
      </w:pPr>
      <w:r>
        <w:rPr>
          <w:rFonts w:hint="eastAsia"/>
          <w:color w:val="auto"/>
          <w:szCs w:val="21"/>
          <w:highlight w:val="none"/>
        </w:rPr>
        <w:t>d</w:t>
      </w:r>
      <w:r>
        <w:rPr>
          <w:color w:val="auto"/>
          <w:szCs w:val="21"/>
          <w:highlight w:val="none"/>
        </w:rPr>
        <w:t>）确定</w:t>
      </w:r>
      <w:r>
        <w:rPr>
          <w:rFonts w:hint="eastAsia"/>
          <w:color w:val="auto"/>
          <w:szCs w:val="21"/>
          <w:highlight w:val="none"/>
        </w:rPr>
        <w:t>会计核算</w:t>
      </w:r>
      <w:r>
        <w:rPr>
          <w:color w:val="auto"/>
          <w:szCs w:val="21"/>
          <w:highlight w:val="none"/>
        </w:rPr>
        <w:t>系统生成电子</w:t>
      </w:r>
      <w:r>
        <w:rPr>
          <w:rFonts w:hint="eastAsia"/>
          <w:color w:val="auto"/>
          <w:szCs w:val="21"/>
          <w:highlight w:val="none"/>
        </w:rPr>
        <w:t>会计资料</w:t>
      </w:r>
      <w:r>
        <w:rPr>
          <w:color w:val="auto"/>
          <w:szCs w:val="21"/>
          <w:highlight w:val="none"/>
        </w:rPr>
        <w:t>归档时的数据包格式。</w:t>
      </w:r>
    </w:p>
    <w:p>
      <w:pPr>
        <w:rPr>
          <w:color w:val="auto"/>
          <w:szCs w:val="21"/>
          <w:highlight w:val="none"/>
        </w:rPr>
      </w:pPr>
      <w:bookmarkStart w:id="243" w:name="_Toc66367056"/>
      <w:bookmarkStart w:id="244" w:name="_Toc1878086769"/>
      <w:bookmarkStart w:id="245" w:name="_Toc312580625"/>
      <w:bookmarkStart w:id="246" w:name="_Toc437616883"/>
      <w:r>
        <w:rPr>
          <w:rStyle w:val="68"/>
          <w:rFonts w:hint="eastAsia"/>
          <w:color w:val="auto"/>
          <w:highlight w:val="none"/>
        </w:rPr>
        <w:t>1</w:t>
      </w:r>
      <w:r>
        <w:rPr>
          <w:rStyle w:val="68"/>
          <w:rFonts w:hint="eastAsia" w:eastAsia="黑体"/>
          <w:color w:val="auto"/>
          <w:highlight w:val="none"/>
          <w:lang w:val="en-US" w:eastAsia="zh-CN"/>
        </w:rPr>
        <w:t>5</w:t>
      </w:r>
      <w:r>
        <w:rPr>
          <w:rStyle w:val="68"/>
          <w:rFonts w:hint="eastAsia"/>
          <w:color w:val="auto"/>
          <w:highlight w:val="none"/>
        </w:rPr>
        <w:t>.2</w:t>
      </w:r>
      <w:bookmarkEnd w:id="243"/>
      <w:r>
        <w:rPr>
          <w:rStyle w:val="68"/>
          <w:rFonts w:hint="eastAsia"/>
          <w:color w:val="auto"/>
          <w:highlight w:val="none"/>
        </w:rPr>
        <w:t xml:space="preserve"> </w:t>
      </w:r>
      <w:bookmarkEnd w:id="244"/>
      <w:bookmarkEnd w:id="245"/>
      <w:r>
        <w:rPr>
          <w:rFonts w:hint="eastAsia"/>
          <w:color w:val="auto"/>
          <w:szCs w:val="21"/>
          <w:highlight w:val="none"/>
        </w:rPr>
        <w:t>电子会计档案管理系统功能见附录E。</w:t>
      </w:r>
    </w:p>
    <w:p>
      <w:pPr>
        <w:rPr>
          <w:color w:val="auto"/>
          <w:szCs w:val="21"/>
          <w:highlight w:val="none"/>
        </w:rPr>
      </w:pPr>
      <w:bookmarkStart w:id="247" w:name="_Toc66367057"/>
      <w:bookmarkStart w:id="248" w:name="_Toc1759887079"/>
      <w:bookmarkStart w:id="249" w:name="_Toc1462350318"/>
      <w:r>
        <w:rPr>
          <w:rStyle w:val="68"/>
          <w:rFonts w:hint="eastAsia"/>
          <w:color w:val="auto"/>
          <w:highlight w:val="none"/>
        </w:rPr>
        <w:t>1</w:t>
      </w:r>
      <w:r>
        <w:rPr>
          <w:rStyle w:val="68"/>
          <w:rFonts w:hint="eastAsia" w:eastAsia="黑体"/>
          <w:color w:val="auto"/>
          <w:highlight w:val="none"/>
          <w:lang w:val="en-US" w:eastAsia="zh-CN"/>
        </w:rPr>
        <w:t>5</w:t>
      </w:r>
      <w:r>
        <w:rPr>
          <w:rStyle w:val="68"/>
          <w:rFonts w:hint="eastAsia"/>
          <w:color w:val="auto"/>
          <w:highlight w:val="none"/>
        </w:rPr>
        <w:t>.3</w:t>
      </w:r>
      <w:bookmarkEnd w:id="247"/>
      <w:r>
        <w:rPr>
          <w:rStyle w:val="68"/>
          <w:rFonts w:hint="eastAsia"/>
          <w:color w:val="auto"/>
          <w:highlight w:val="none"/>
        </w:rPr>
        <w:t xml:space="preserve"> </w:t>
      </w:r>
      <w:bookmarkEnd w:id="248"/>
      <w:bookmarkEnd w:id="249"/>
      <w:r>
        <w:rPr>
          <w:rFonts w:hint="eastAsia"/>
          <w:color w:val="auto"/>
          <w:szCs w:val="21"/>
          <w:highlight w:val="none"/>
        </w:rPr>
        <w:t>会计核算</w:t>
      </w:r>
      <w:r>
        <w:rPr>
          <w:color w:val="auto"/>
          <w:szCs w:val="21"/>
          <w:highlight w:val="none"/>
        </w:rPr>
        <w:t>系统与电子</w:t>
      </w:r>
      <w:r>
        <w:rPr>
          <w:rFonts w:hint="eastAsia"/>
          <w:color w:val="auto"/>
          <w:szCs w:val="21"/>
          <w:highlight w:val="none"/>
        </w:rPr>
        <w:t>会计</w:t>
      </w:r>
      <w:r>
        <w:rPr>
          <w:color w:val="auto"/>
          <w:szCs w:val="21"/>
          <w:highlight w:val="none"/>
        </w:rPr>
        <w:t>档案管理系统衔接</w:t>
      </w:r>
      <w:bookmarkEnd w:id="246"/>
    </w:p>
    <w:p>
      <w:pPr>
        <w:ind w:firstLine="373" w:firstLineChars="178"/>
        <w:rPr>
          <w:color w:val="auto"/>
          <w:szCs w:val="21"/>
          <w:highlight w:val="none"/>
        </w:rPr>
      </w:pPr>
      <w:r>
        <w:rPr>
          <w:color w:val="auto"/>
          <w:szCs w:val="21"/>
          <w:highlight w:val="none"/>
        </w:rPr>
        <w:t>电子</w:t>
      </w:r>
      <w:r>
        <w:rPr>
          <w:rFonts w:hint="eastAsia"/>
          <w:color w:val="auto"/>
          <w:szCs w:val="21"/>
          <w:highlight w:val="none"/>
        </w:rPr>
        <w:t>会计资料</w:t>
      </w:r>
      <w:r>
        <w:rPr>
          <w:color w:val="auto"/>
          <w:szCs w:val="21"/>
          <w:highlight w:val="none"/>
        </w:rPr>
        <w:t>归档和电子</w:t>
      </w:r>
      <w:r>
        <w:rPr>
          <w:rFonts w:hint="eastAsia"/>
          <w:color w:val="auto"/>
          <w:szCs w:val="21"/>
          <w:highlight w:val="none"/>
        </w:rPr>
        <w:t>会计</w:t>
      </w:r>
      <w:r>
        <w:rPr>
          <w:color w:val="auto"/>
          <w:szCs w:val="21"/>
          <w:highlight w:val="none"/>
        </w:rPr>
        <w:t>档案管理</w:t>
      </w:r>
      <w:r>
        <w:rPr>
          <w:rFonts w:hint="eastAsia"/>
          <w:color w:val="auto"/>
          <w:szCs w:val="21"/>
          <w:highlight w:val="none"/>
        </w:rPr>
        <w:t>一般</w:t>
      </w:r>
      <w:r>
        <w:rPr>
          <w:color w:val="auto"/>
          <w:szCs w:val="21"/>
          <w:highlight w:val="none"/>
        </w:rPr>
        <w:t>通过电子</w:t>
      </w:r>
      <w:r>
        <w:rPr>
          <w:rFonts w:hint="eastAsia"/>
          <w:color w:val="auto"/>
          <w:szCs w:val="21"/>
          <w:highlight w:val="none"/>
        </w:rPr>
        <w:t>会计</w:t>
      </w:r>
      <w:r>
        <w:rPr>
          <w:color w:val="auto"/>
          <w:szCs w:val="21"/>
          <w:highlight w:val="none"/>
        </w:rPr>
        <w:t>档案管理系统实现，也可通过在</w:t>
      </w:r>
      <w:r>
        <w:rPr>
          <w:rFonts w:hint="eastAsia"/>
          <w:color w:val="auto"/>
          <w:szCs w:val="21"/>
          <w:highlight w:val="none"/>
        </w:rPr>
        <w:t>会计核算</w:t>
      </w:r>
      <w:r>
        <w:rPr>
          <w:color w:val="auto"/>
          <w:szCs w:val="21"/>
          <w:highlight w:val="none"/>
        </w:rPr>
        <w:t>系统中设计电子</w:t>
      </w:r>
      <w:r>
        <w:rPr>
          <w:rFonts w:hint="eastAsia"/>
          <w:color w:val="auto"/>
          <w:szCs w:val="21"/>
          <w:highlight w:val="none"/>
        </w:rPr>
        <w:t>会计资料</w:t>
      </w:r>
      <w:r>
        <w:rPr>
          <w:color w:val="auto"/>
          <w:szCs w:val="21"/>
          <w:highlight w:val="none"/>
        </w:rPr>
        <w:t>归档和电子</w:t>
      </w:r>
      <w:r>
        <w:rPr>
          <w:rFonts w:hint="eastAsia"/>
          <w:color w:val="auto"/>
          <w:szCs w:val="21"/>
          <w:highlight w:val="none"/>
        </w:rPr>
        <w:t>会计</w:t>
      </w:r>
      <w:r>
        <w:rPr>
          <w:color w:val="auto"/>
          <w:szCs w:val="21"/>
          <w:highlight w:val="none"/>
        </w:rPr>
        <w:t>档案管理功能实现，还可将相</w:t>
      </w:r>
      <w:r>
        <w:rPr>
          <w:rFonts w:hint="eastAsia"/>
          <w:color w:val="auto"/>
          <w:szCs w:val="21"/>
          <w:highlight w:val="none"/>
        </w:rPr>
        <w:t>应</w:t>
      </w:r>
      <w:r>
        <w:rPr>
          <w:color w:val="auto"/>
          <w:szCs w:val="21"/>
          <w:highlight w:val="none"/>
        </w:rPr>
        <w:t>功能分别设计在</w:t>
      </w:r>
      <w:r>
        <w:rPr>
          <w:rFonts w:hint="eastAsia"/>
          <w:color w:val="auto"/>
          <w:szCs w:val="21"/>
          <w:highlight w:val="none"/>
        </w:rPr>
        <w:t>会计核算</w:t>
      </w:r>
      <w:r>
        <w:rPr>
          <w:color w:val="auto"/>
          <w:szCs w:val="21"/>
          <w:highlight w:val="none"/>
        </w:rPr>
        <w:t>系统和电子</w:t>
      </w:r>
      <w:r>
        <w:rPr>
          <w:rFonts w:hint="eastAsia"/>
          <w:color w:val="auto"/>
          <w:szCs w:val="21"/>
          <w:highlight w:val="none"/>
        </w:rPr>
        <w:t>会计</w:t>
      </w:r>
      <w:r>
        <w:rPr>
          <w:color w:val="auto"/>
          <w:szCs w:val="21"/>
          <w:highlight w:val="none"/>
        </w:rPr>
        <w:t>档案管理系统中</w:t>
      </w:r>
      <w:r>
        <w:rPr>
          <w:rFonts w:hint="eastAsia"/>
          <w:color w:val="auto"/>
          <w:szCs w:val="21"/>
          <w:highlight w:val="none"/>
        </w:rPr>
        <w:t>实现</w:t>
      </w:r>
      <w:r>
        <w:rPr>
          <w:color w:val="auto"/>
          <w:szCs w:val="21"/>
          <w:highlight w:val="none"/>
        </w:rPr>
        <w:t>。</w:t>
      </w:r>
    </w:p>
    <w:p>
      <w:pPr>
        <w:pStyle w:val="66"/>
        <w:numPr>
          <w:ilvl w:val="1"/>
          <w:numId w:val="0"/>
        </w:numPr>
        <w:spacing w:before="312" w:after="312"/>
        <w:ind w:leftChars="0"/>
        <w:rPr>
          <w:color w:val="auto"/>
          <w:highlight w:val="none"/>
        </w:rPr>
      </w:pPr>
      <w:bookmarkStart w:id="250" w:name="_Toc1840394138"/>
      <w:r>
        <w:rPr>
          <w:rFonts w:hint="eastAsia"/>
          <w:color w:val="auto"/>
          <w:highlight w:val="none"/>
          <w:lang w:val="en-US" w:eastAsia="zh-CN"/>
        </w:rPr>
        <w:t xml:space="preserve">16  </w:t>
      </w:r>
      <w:r>
        <w:rPr>
          <w:rFonts w:hint="eastAsia"/>
          <w:color w:val="auto"/>
          <w:highlight w:val="none"/>
        </w:rPr>
        <w:t>未实施电子会计档案管理系统单位的电子会计资料保存方法</w:t>
      </w:r>
      <w:bookmarkEnd w:id="250"/>
    </w:p>
    <w:p>
      <w:pPr>
        <w:pStyle w:val="70"/>
        <w:numPr>
          <w:ilvl w:val="0"/>
          <w:numId w:val="1"/>
        </w:numPr>
        <w:ind w:firstLineChars="0"/>
        <w:rPr>
          <w:color w:val="auto"/>
          <w:highlight w:val="none"/>
        </w:rPr>
      </w:pPr>
      <w:bookmarkStart w:id="251" w:name="_Toc1205757188"/>
      <w:r>
        <w:rPr>
          <w:rStyle w:val="68"/>
          <w:rFonts w:hint="eastAsia" w:hAnsi="Times New Roman" w:cs="Times New Roman"/>
          <w:color w:val="auto"/>
          <w:sz w:val="21"/>
          <w:highlight w:val="none"/>
          <w:lang w:val="en-US" w:eastAsia="zh-CN" w:bidi="ar-SA"/>
        </w:rPr>
        <w:t xml:space="preserve">16.1 </w:t>
      </w:r>
      <w:bookmarkEnd w:id="251"/>
      <w:r>
        <w:rPr>
          <w:rFonts w:hint="eastAsia"/>
          <w:color w:val="auto"/>
          <w:highlight w:val="none"/>
        </w:rPr>
        <w:t>通过会计核算系统进行会计核算单位的电子会计资料保存方法</w:t>
      </w:r>
    </w:p>
    <w:p>
      <w:pPr>
        <w:pStyle w:val="70"/>
        <w:numPr>
          <w:ilvl w:val="0"/>
          <w:numId w:val="1"/>
        </w:numPr>
        <w:ind w:firstLine="424" w:firstLineChars="202"/>
        <w:rPr>
          <w:color w:val="auto"/>
          <w:highlight w:val="none"/>
        </w:rPr>
      </w:pPr>
      <w:r>
        <w:rPr>
          <w:rFonts w:hint="eastAsia"/>
          <w:color w:val="auto"/>
          <w:highlight w:val="none"/>
        </w:rPr>
        <w:t>通过会计核算系统进行会计核算的单位，电子会计资料应由会计人员根据以下方法进行</w:t>
      </w:r>
      <w:r>
        <w:rPr>
          <w:rFonts w:hint="eastAsia"/>
          <w:color w:val="auto"/>
          <w:highlight w:val="none"/>
          <w:lang w:eastAsia="zh-CN"/>
        </w:rPr>
        <w:t>保存</w:t>
      </w:r>
      <w:r>
        <w:rPr>
          <w:rFonts w:hint="eastAsia"/>
          <w:color w:val="auto"/>
          <w:highlight w:val="none"/>
        </w:rPr>
        <w:t>。</w:t>
      </w:r>
    </w:p>
    <w:p>
      <w:pPr>
        <w:pStyle w:val="70"/>
        <w:numPr>
          <w:ilvl w:val="0"/>
          <w:numId w:val="1"/>
        </w:numPr>
        <w:ind w:firstLine="424" w:firstLineChars="202"/>
        <w:rPr>
          <w:color w:val="auto"/>
          <w:highlight w:val="none"/>
        </w:rPr>
      </w:pPr>
      <w:r>
        <w:rPr>
          <w:color w:val="auto"/>
          <w:highlight w:val="none"/>
        </w:rPr>
        <w:t>a</w:t>
      </w:r>
      <w:r>
        <w:rPr>
          <w:rFonts w:hint="eastAsia"/>
          <w:color w:val="auto"/>
          <w:highlight w:val="none"/>
        </w:rPr>
        <w:t>）从会计核算系统下载电子会计资料，填写电子会计资料登记表（格式见附录F.1</w:t>
      </w:r>
      <w:r>
        <w:rPr>
          <w:color w:val="auto"/>
          <w:highlight w:val="none"/>
        </w:rPr>
        <w:t>）</w:t>
      </w:r>
      <w:r>
        <w:rPr>
          <w:rFonts w:hint="eastAsia"/>
          <w:color w:val="auto"/>
          <w:highlight w:val="none"/>
        </w:rPr>
        <w:t>对电子会计资料进行登记。</w:t>
      </w:r>
    </w:p>
    <w:p>
      <w:pPr>
        <w:pStyle w:val="70"/>
        <w:numPr>
          <w:ilvl w:val="0"/>
          <w:numId w:val="1"/>
        </w:numPr>
        <w:ind w:firstLine="424" w:firstLineChars="202"/>
        <w:rPr>
          <w:color w:val="auto"/>
          <w:highlight w:val="none"/>
        </w:rPr>
      </w:pPr>
      <w:r>
        <w:rPr>
          <w:color w:val="auto"/>
          <w:highlight w:val="none"/>
        </w:rPr>
        <w:t>b</w:t>
      </w:r>
      <w:r>
        <w:rPr>
          <w:rFonts w:hint="eastAsia"/>
          <w:color w:val="auto"/>
          <w:highlight w:val="none"/>
        </w:rPr>
        <w:t>）对下载后的电子会计</w:t>
      </w:r>
      <w:r>
        <w:rPr>
          <w:rFonts w:hint="eastAsia"/>
          <w:color w:val="auto"/>
          <w:highlight w:val="none"/>
          <w:lang w:eastAsia="zh-CN"/>
        </w:rPr>
        <w:t>资料</w:t>
      </w:r>
      <w:r>
        <w:rPr>
          <w:rFonts w:hint="eastAsia"/>
          <w:color w:val="auto"/>
          <w:highlight w:val="none"/>
        </w:rPr>
        <w:t>进行真实性、完整性、可用性和安全性检测</w:t>
      </w:r>
      <w:r>
        <w:rPr>
          <w:rFonts w:hint="eastAsia"/>
          <w:color w:val="auto"/>
          <w:highlight w:val="none"/>
          <w:lang w:eastAsia="zh-CN"/>
        </w:rPr>
        <w:t>。</w:t>
      </w:r>
    </w:p>
    <w:p>
      <w:pPr>
        <w:pStyle w:val="70"/>
        <w:numPr>
          <w:ilvl w:val="0"/>
          <w:numId w:val="1"/>
        </w:numPr>
        <w:ind w:firstLine="424" w:firstLineChars="202"/>
        <w:rPr>
          <w:color w:val="auto"/>
          <w:highlight w:val="none"/>
        </w:rPr>
      </w:pPr>
      <w:r>
        <w:rPr>
          <w:rFonts w:hint="eastAsia"/>
          <w:color w:val="auto"/>
          <w:highlight w:val="none"/>
        </w:rPr>
        <w:t>c）对电子会计资料进行组件。将反映同一笔账的电子会计凭证拷贝至同一文件夹，并在文件夹内按记账凭证、报销单、发票、其他附件的顺序排列，一个文件夹视为一件；电子会计账簿按导出频次组件，每导出一次为一件；电子财务会计报告按会计期间组件，一个会计期间为一件。</w:t>
      </w:r>
    </w:p>
    <w:p>
      <w:pPr>
        <w:pStyle w:val="70"/>
        <w:numPr>
          <w:ilvl w:val="0"/>
          <w:numId w:val="1"/>
        </w:numPr>
        <w:ind w:firstLine="424" w:firstLineChars="202"/>
        <w:rPr>
          <w:color w:val="auto"/>
          <w:highlight w:val="none"/>
        </w:rPr>
      </w:pPr>
      <w:r>
        <w:rPr>
          <w:rFonts w:hint="eastAsia"/>
          <w:color w:val="auto"/>
          <w:highlight w:val="none"/>
        </w:rPr>
        <w:t>d）划定保管期限。</w:t>
      </w:r>
    </w:p>
    <w:p>
      <w:pPr>
        <w:pStyle w:val="70"/>
        <w:numPr>
          <w:ilvl w:val="0"/>
          <w:numId w:val="1"/>
        </w:numPr>
        <w:ind w:firstLine="424" w:firstLineChars="202"/>
        <w:rPr>
          <w:color w:val="auto"/>
          <w:highlight w:val="none"/>
        </w:rPr>
      </w:pPr>
      <w:r>
        <w:rPr>
          <w:rFonts w:hint="eastAsia"/>
          <w:color w:val="auto"/>
          <w:highlight w:val="none"/>
        </w:rPr>
        <w:t>e）排列电子会计资料。根据分类方案和</w:t>
      </w:r>
      <w:r>
        <w:rPr>
          <w:rFonts w:hint="eastAsia" w:ascii="宋体" w:hAnsi="宋体"/>
          <w:color w:val="auto"/>
          <w:kern w:val="0"/>
          <w:szCs w:val="21"/>
          <w:highlight w:val="none"/>
        </w:rPr>
        <w:t>文件</w:t>
      </w:r>
      <w:r>
        <w:rPr>
          <w:rFonts w:hint="eastAsia"/>
          <w:color w:val="auto"/>
          <w:highlight w:val="none"/>
        </w:rPr>
        <w:t>号顺序以件为单位依次排列电子会计资料，然后编制档号，并将档号、保管期限填入登记表。</w:t>
      </w:r>
    </w:p>
    <w:p>
      <w:pPr>
        <w:pStyle w:val="70"/>
        <w:numPr>
          <w:ilvl w:val="0"/>
          <w:numId w:val="1"/>
        </w:numPr>
        <w:ind w:firstLineChars="0"/>
        <w:rPr>
          <w:color w:val="auto"/>
          <w:highlight w:val="none"/>
        </w:rPr>
      </w:pPr>
      <w:r>
        <w:rPr>
          <w:rFonts w:hint="eastAsia"/>
          <w:color w:val="auto"/>
          <w:highlight w:val="none"/>
        </w:rPr>
        <w:t xml:space="preserve">    f）编制说明文件，包括电子会计档案内容（会计期间+会计文件形式）、电子会计档案数量、移交人、其他需要说明的情况（如非通用格式文件说明）等。例如：2020年1-12月电子</w:t>
      </w:r>
      <w:r>
        <w:rPr>
          <w:rFonts w:hint="eastAsia"/>
          <w:color w:val="auto"/>
          <w:highlight w:val="none"/>
          <w:lang w:eastAsia="zh-CN"/>
        </w:rPr>
        <w:t>会计凭证</w:t>
      </w:r>
      <w:r>
        <w:rPr>
          <w:rFonts w:hint="eastAsia"/>
          <w:color w:val="auto"/>
          <w:highlight w:val="none"/>
        </w:rPr>
        <w:t>，共555件，张三移交。</w:t>
      </w:r>
    </w:p>
    <w:p>
      <w:pPr>
        <w:pStyle w:val="70"/>
        <w:numPr>
          <w:ilvl w:val="0"/>
          <w:numId w:val="1"/>
        </w:numPr>
        <w:ind w:firstLineChars="0"/>
        <w:rPr>
          <w:color w:val="auto"/>
          <w:highlight w:val="none"/>
        </w:rPr>
      </w:pPr>
      <w:r>
        <w:rPr>
          <w:rFonts w:hint="eastAsia"/>
          <w:color w:val="auto"/>
          <w:highlight w:val="none"/>
        </w:rPr>
        <w:t xml:space="preserve">    g）将电子会计资料、目录（电子会计资料登记表）及说明文件按《</w:t>
      </w:r>
      <w:r>
        <w:rPr>
          <w:rFonts w:hint="eastAsia" w:hAnsi="黑体"/>
          <w:color w:val="auto"/>
          <w:highlight w:val="none"/>
          <w:lang w:val="de-DE"/>
        </w:rPr>
        <w:t>电子会计资料存储结构图》（见</w:t>
      </w:r>
      <w:r>
        <w:rPr>
          <w:rFonts w:hint="eastAsia"/>
          <w:color w:val="auto"/>
          <w:highlight w:val="none"/>
        </w:rPr>
        <w:t>附录F.2）结构存储。</w:t>
      </w:r>
    </w:p>
    <w:p>
      <w:pPr>
        <w:pStyle w:val="70"/>
        <w:numPr>
          <w:ilvl w:val="0"/>
          <w:numId w:val="1"/>
        </w:numPr>
        <w:ind w:firstLine="424" w:firstLineChars="202"/>
        <w:rPr>
          <w:color w:val="auto"/>
          <w:highlight w:val="none"/>
        </w:rPr>
      </w:pPr>
      <w:r>
        <w:rPr>
          <w:rFonts w:hint="eastAsia"/>
          <w:color w:val="auto"/>
          <w:highlight w:val="none"/>
        </w:rPr>
        <w:t>h）将目录（电子会计资料登记表）输出纸质文件。</w:t>
      </w:r>
    </w:p>
    <w:p>
      <w:pPr>
        <w:pStyle w:val="70"/>
        <w:numPr>
          <w:ilvl w:val="0"/>
          <w:numId w:val="1"/>
        </w:numPr>
        <w:ind w:firstLine="424" w:firstLineChars="202"/>
        <w:rPr>
          <w:color w:val="auto"/>
          <w:highlight w:val="none"/>
        </w:rPr>
      </w:pPr>
      <w:r>
        <w:rPr>
          <w:rFonts w:hint="eastAsia"/>
          <w:color w:val="auto"/>
          <w:highlight w:val="none"/>
        </w:rPr>
        <w:t>i）将整理好的电子会计资料、目录文件（电子会计资料登记表）及其纸质文件、说明文件和其他纸质档案在规定期限内移交档案人员。</w:t>
      </w:r>
    </w:p>
    <w:p>
      <w:pPr>
        <w:pStyle w:val="70"/>
        <w:numPr>
          <w:ilvl w:val="0"/>
          <w:numId w:val="1"/>
        </w:numPr>
        <w:ind w:firstLineChars="0"/>
        <w:rPr>
          <w:color w:val="auto"/>
          <w:highlight w:val="none"/>
        </w:rPr>
      </w:pPr>
      <w:bookmarkStart w:id="252" w:name="_Toc310591422"/>
      <w:r>
        <w:rPr>
          <w:rStyle w:val="68"/>
          <w:rFonts w:hint="eastAsia" w:hAnsi="Times New Roman" w:cs="Times New Roman"/>
          <w:color w:val="auto"/>
          <w:sz w:val="21"/>
          <w:highlight w:val="none"/>
          <w:lang w:val="en-US" w:eastAsia="zh-CN" w:bidi="ar-SA"/>
        </w:rPr>
        <w:t xml:space="preserve">16.2 </w:t>
      </w:r>
      <w:bookmarkEnd w:id="252"/>
      <w:r>
        <w:rPr>
          <w:rFonts w:hint="eastAsia"/>
          <w:color w:val="auto"/>
          <w:highlight w:val="none"/>
        </w:rPr>
        <w:t>未通过会计核算系统进行会计核算单位的电子会计凭证保存方法</w:t>
      </w:r>
    </w:p>
    <w:p>
      <w:pPr>
        <w:pStyle w:val="70"/>
        <w:numPr>
          <w:ilvl w:val="0"/>
          <w:numId w:val="1"/>
        </w:numPr>
        <w:ind w:firstLine="424" w:firstLineChars="202"/>
        <w:rPr>
          <w:color w:val="auto"/>
          <w:highlight w:val="none"/>
        </w:rPr>
      </w:pPr>
      <w:r>
        <w:rPr>
          <w:rFonts w:hint="eastAsia"/>
          <w:color w:val="auto"/>
          <w:highlight w:val="none"/>
        </w:rPr>
        <w:t>未通过会计核算系统进行会计核算的单位</w:t>
      </w:r>
      <w:r>
        <w:rPr>
          <w:rFonts w:hint="eastAsia"/>
          <w:color w:val="auto"/>
          <w:highlight w:val="none"/>
          <w:lang w:eastAsia="zh-CN"/>
        </w:rPr>
        <w:t>，</w:t>
      </w:r>
      <w:r>
        <w:rPr>
          <w:rFonts w:hint="eastAsia"/>
          <w:color w:val="auto"/>
          <w:highlight w:val="none"/>
        </w:rPr>
        <w:t>会计资料主要为纸质载体，但从外部接收的电子会计凭证应由会计人员按以下方法收集、整理。</w:t>
      </w:r>
    </w:p>
    <w:p>
      <w:pPr>
        <w:pStyle w:val="70"/>
        <w:numPr>
          <w:ilvl w:val="0"/>
          <w:numId w:val="1"/>
        </w:numPr>
        <w:ind w:firstLine="424" w:firstLineChars="202"/>
        <w:rPr>
          <w:color w:val="auto"/>
          <w:highlight w:val="none"/>
        </w:rPr>
      </w:pPr>
      <w:r>
        <w:rPr>
          <w:rFonts w:hint="eastAsia"/>
          <w:color w:val="auto"/>
          <w:highlight w:val="none"/>
        </w:rPr>
        <w:t>a）接收电子会计凭证，填写电子会计资料登记表对电子会计资料进行登记。</w:t>
      </w:r>
    </w:p>
    <w:p>
      <w:pPr>
        <w:pStyle w:val="70"/>
        <w:numPr>
          <w:ilvl w:val="0"/>
          <w:numId w:val="1"/>
        </w:numPr>
        <w:ind w:firstLine="424" w:firstLineChars="202"/>
        <w:rPr>
          <w:color w:val="auto"/>
          <w:highlight w:val="none"/>
        </w:rPr>
      </w:pPr>
      <w:r>
        <w:rPr>
          <w:rFonts w:hint="eastAsia"/>
          <w:color w:val="auto"/>
          <w:highlight w:val="none"/>
        </w:rPr>
        <w:t>b）对接收的电子会计凭证进行真实性、完整性、可用性、安全性检测，检测合格后方可接收。</w:t>
      </w:r>
    </w:p>
    <w:p>
      <w:pPr>
        <w:pStyle w:val="70"/>
        <w:numPr>
          <w:ilvl w:val="0"/>
          <w:numId w:val="1"/>
        </w:numPr>
        <w:ind w:firstLine="424" w:firstLineChars="202"/>
        <w:rPr>
          <w:color w:val="auto"/>
          <w:highlight w:val="none"/>
        </w:rPr>
      </w:pPr>
      <w:r>
        <w:rPr>
          <w:rFonts w:hint="eastAsia"/>
          <w:color w:val="auto"/>
          <w:highlight w:val="none"/>
        </w:rPr>
        <w:t>c）根据相应纸质载体会计凭证所在案卷（或册）号在存储载体中建立卷（或册）文件夹，将电子会计凭证拷贝至相应卷（或册）文件夹。</w:t>
      </w:r>
    </w:p>
    <w:p>
      <w:pPr>
        <w:pStyle w:val="70"/>
        <w:numPr>
          <w:ilvl w:val="0"/>
          <w:numId w:val="1"/>
        </w:numPr>
        <w:ind w:firstLineChars="0"/>
        <w:rPr>
          <w:color w:val="auto"/>
          <w:highlight w:val="none"/>
        </w:rPr>
      </w:pPr>
      <w:r>
        <w:rPr>
          <w:rFonts w:hint="eastAsia"/>
          <w:color w:val="auto"/>
          <w:highlight w:val="none"/>
        </w:rPr>
        <w:t xml:space="preserve">    d）根据相应纸质载体会计凭证所在案卷（或册）号将档号、保管期限填写在登记表中。</w:t>
      </w:r>
    </w:p>
    <w:p>
      <w:pPr>
        <w:pStyle w:val="70"/>
        <w:numPr>
          <w:ilvl w:val="0"/>
          <w:numId w:val="1"/>
        </w:numPr>
        <w:ind w:firstLineChars="0"/>
        <w:rPr>
          <w:color w:val="auto"/>
          <w:highlight w:val="none"/>
        </w:rPr>
      </w:pPr>
      <w:r>
        <w:rPr>
          <w:rFonts w:hint="eastAsia"/>
          <w:color w:val="auto"/>
          <w:highlight w:val="none"/>
        </w:rPr>
        <w:t xml:space="preserve">    e）编制说明文件，包括会计期间、电子会计凭证名称、数量、移交人、其他需要说明的情况（如非通用格式文件说明）等。例如：2020年1-12月电子发票，共555件，张三移交。</w:t>
      </w:r>
    </w:p>
    <w:p>
      <w:pPr>
        <w:pStyle w:val="70"/>
        <w:numPr>
          <w:ilvl w:val="0"/>
          <w:numId w:val="1"/>
        </w:numPr>
        <w:ind w:firstLineChars="0"/>
        <w:rPr>
          <w:color w:val="auto"/>
          <w:highlight w:val="none"/>
        </w:rPr>
      </w:pPr>
      <w:r>
        <w:rPr>
          <w:rFonts w:hint="eastAsia"/>
          <w:color w:val="auto"/>
          <w:highlight w:val="none"/>
        </w:rPr>
        <w:t xml:space="preserve">    f）将电子会计凭证、目录（电子会计资料登记表）及说明文件按</w:t>
      </w:r>
      <w:r>
        <w:rPr>
          <w:rFonts w:hint="eastAsia" w:hAnsi="黑体"/>
          <w:color w:val="auto"/>
          <w:highlight w:val="none"/>
          <w:lang w:val="de-DE"/>
        </w:rPr>
        <w:t>电子会计凭证存储结构图</w:t>
      </w:r>
      <w:r>
        <w:rPr>
          <w:rFonts w:hint="eastAsia"/>
          <w:color w:val="auto"/>
          <w:highlight w:val="none"/>
        </w:rPr>
        <w:t>结构（附录F.3）存储。</w:t>
      </w:r>
    </w:p>
    <w:p>
      <w:pPr>
        <w:pStyle w:val="70"/>
        <w:numPr>
          <w:ilvl w:val="0"/>
          <w:numId w:val="1"/>
        </w:numPr>
        <w:ind w:firstLine="424" w:firstLineChars="202"/>
        <w:rPr>
          <w:color w:val="auto"/>
          <w:highlight w:val="none"/>
        </w:rPr>
      </w:pPr>
      <w:r>
        <w:rPr>
          <w:rFonts w:hint="eastAsia"/>
          <w:color w:val="auto"/>
          <w:highlight w:val="none"/>
        </w:rPr>
        <w:t>g）将目录（电子会计资料登记表）输出纸质文件。</w:t>
      </w:r>
    </w:p>
    <w:p>
      <w:pPr>
        <w:pStyle w:val="70"/>
        <w:numPr>
          <w:ilvl w:val="0"/>
          <w:numId w:val="1"/>
        </w:numPr>
        <w:ind w:firstLine="424" w:firstLineChars="202"/>
        <w:rPr>
          <w:color w:val="auto"/>
          <w:highlight w:val="none"/>
        </w:rPr>
      </w:pPr>
      <w:r>
        <w:rPr>
          <w:rFonts w:hint="eastAsia"/>
          <w:color w:val="auto"/>
          <w:highlight w:val="none"/>
        </w:rPr>
        <w:t>h）将整理好的电子会计凭证、目录文件（电子会计资料登记表）及其纸质文件、说明文件和其他纸质档案在规定期限内移交档案人员。</w:t>
      </w:r>
    </w:p>
    <w:p>
      <w:pPr>
        <w:pStyle w:val="70"/>
        <w:widowControl/>
        <w:numPr>
          <w:ilvl w:val="0"/>
          <w:numId w:val="0"/>
        </w:numPr>
        <w:jc w:val="left"/>
        <w:rPr>
          <w:color w:val="auto"/>
          <w:highlight w:val="none"/>
        </w:rPr>
      </w:pPr>
      <w:bookmarkStart w:id="253" w:name="_Toc1331790780"/>
      <w:r>
        <w:rPr>
          <w:rStyle w:val="68"/>
          <w:rFonts w:hint="eastAsia" w:hAnsi="Times New Roman" w:cs="Times New Roman"/>
          <w:color w:val="auto"/>
          <w:sz w:val="21"/>
          <w:highlight w:val="none"/>
          <w:lang w:val="en-US" w:eastAsia="zh-CN" w:bidi="ar-SA"/>
        </w:rPr>
        <w:t>1</w:t>
      </w:r>
      <w:r>
        <w:rPr>
          <w:rStyle w:val="68"/>
          <w:rFonts w:hint="eastAsia" w:cs="Times New Roman"/>
          <w:color w:val="auto"/>
          <w:sz w:val="21"/>
          <w:highlight w:val="none"/>
          <w:lang w:val="en-US" w:eastAsia="zh-CN" w:bidi="ar-SA"/>
        </w:rPr>
        <w:t>6</w:t>
      </w:r>
      <w:r>
        <w:rPr>
          <w:rStyle w:val="68"/>
          <w:rFonts w:hint="eastAsia" w:hAnsi="Times New Roman" w:cs="Times New Roman"/>
          <w:color w:val="auto"/>
          <w:sz w:val="21"/>
          <w:highlight w:val="none"/>
          <w:lang w:val="en-US" w:eastAsia="zh-CN" w:bidi="ar-SA"/>
        </w:rPr>
        <w:t>.3</w:t>
      </w:r>
      <w:bookmarkEnd w:id="253"/>
      <w:r>
        <w:rPr>
          <w:rFonts w:hint="eastAsia"/>
          <w:color w:val="auto"/>
          <w:highlight w:val="none"/>
        </w:rPr>
        <w:t>保存电子档案时，档案人员应当采用多重备份、定期检测等方法，保证电子会计档案在保管期限内安全、可用。</w:t>
      </w:r>
    </w:p>
    <w:p>
      <w:pPr>
        <w:rPr>
          <w:color w:val="auto"/>
          <w:szCs w:val="21"/>
          <w:highlight w:val="none"/>
        </w:rPr>
      </w:pPr>
      <w:r>
        <w:rPr>
          <w:color w:val="auto"/>
          <w:highlight w:val="none"/>
        </w:rPr>
        <w:br w:type="page"/>
      </w:r>
    </w:p>
    <w:p>
      <w:pPr>
        <w:pStyle w:val="65"/>
        <w:spacing w:before="124" w:after="156"/>
        <w:rPr>
          <w:color w:val="auto"/>
          <w:highlight w:val="none"/>
        </w:rPr>
      </w:pPr>
      <w:bookmarkStart w:id="254" w:name="_Toc1422571741"/>
      <w:bookmarkStart w:id="255" w:name="_Toc505070307"/>
      <w:bookmarkStart w:id="256" w:name="_Toc2114407191"/>
      <w:r>
        <w:rPr>
          <w:rFonts w:hint="eastAsia"/>
          <w:color w:val="auto"/>
          <w:spacing w:val="105"/>
          <w:highlight w:val="none"/>
        </w:rPr>
        <w:t>参考文</w:t>
      </w:r>
      <w:r>
        <w:rPr>
          <w:rFonts w:hint="eastAsia"/>
          <w:color w:val="auto"/>
          <w:highlight w:val="none"/>
        </w:rPr>
        <w:t>献</w:t>
      </w:r>
      <w:bookmarkEnd w:id="254"/>
      <w:bookmarkEnd w:id="255"/>
      <w:bookmarkEnd w:id="256"/>
    </w:p>
    <w:p>
      <w:pPr>
        <w:wordWrap w:val="0"/>
        <w:ind w:firstLine="426"/>
        <w:rPr>
          <w:rFonts w:hint="eastAsia" w:eastAsia="宋体"/>
          <w:color w:val="auto"/>
          <w:szCs w:val="21"/>
          <w:highlight w:val="none"/>
        </w:rPr>
      </w:pPr>
      <w:r>
        <w:rPr>
          <w:rFonts w:hint="eastAsia"/>
          <w:color w:val="auto"/>
          <w:highlight w:val="none"/>
        </w:rPr>
        <w:t>[1]</w:t>
      </w:r>
      <w:r>
        <w:rPr>
          <w:rFonts w:ascii="宋体" w:hAnsi="宋体"/>
          <w:color w:val="auto"/>
          <w:kern w:val="0"/>
          <w:szCs w:val="21"/>
          <w:highlight w:val="none"/>
        </w:rPr>
        <w:t>企业电子文件归档和电子档案管理指南</w:t>
      </w:r>
      <w:r>
        <w:rPr>
          <w:rFonts w:hint="eastAsia" w:ascii="宋体" w:hAnsi="宋体"/>
          <w:color w:val="auto"/>
          <w:kern w:val="0"/>
          <w:szCs w:val="21"/>
          <w:highlight w:val="none"/>
        </w:rPr>
        <w:t>.档办发﹝</w:t>
      </w:r>
      <w:r>
        <w:rPr>
          <w:rFonts w:hint="eastAsia" w:eastAsia="宋体"/>
          <w:color w:val="auto"/>
          <w:szCs w:val="21"/>
          <w:highlight w:val="none"/>
        </w:rPr>
        <w:t>2015﹞4号</w:t>
      </w:r>
    </w:p>
    <w:p>
      <w:pPr>
        <w:wordWrap w:val="0"/>
        <w:ind w:firstLine="426"/>
        <w:rPr>
          <w:rFonts w:hint="eastAsia" w:eastAsia="宋体"/>
          <w:color w:val="auto"/>
          <w:szCs w:val="21"/>
          <w:highlight w:val="none"/>
        </w:rPr>
      </w:pPr>
      <w:r>
        <w:rPr>
          <w:rFonts w:hint="eastAsia" w:eastAsia="宋体"/>
          <w:color w:val="auto"/>
          <w:szCs w:val="21"/>
          <w:highlight w:val="none"/>
        </w:rPr>
        <w:t>[2]会计档案管理办法.中国人民共和国财政部 国家档案局令第79号</w:t>
      </w:r>
    </w:p>
    <w:p>
      <w:pPr>
        <w:wordWrap w:val="0"/>
        <w:ind w:firstLine="426"/>
        <w:rPr>
          <w:rFonts w:hint="eastAsia" w:eastAsia="宋体"/>
          <w:color w:val="auto"/>
          <w:szCs w:val="21"/>
          <w:highlight w:val="none"/>
        </w:rPr>
      </w:pPr>
      <w:r>
        <w:rPr>
          <w:rFonts w:hint="eastAsia" w:eastAsia="宋体"/>
          <w:color w:val="auto"/>
          <w:szCs w:val="21"/>
          <w:highlight w:val="none"/>
        </w:rPr>
        <w:t>[3]关于规范电子会计凭证报销入账归档的通知. 财会﹝2020﹞6号</w:t>
      </w:r>
    </w:p>
    <w:p>
      <w:pPr>
        <w:wordWrap w:val="0"/>
        <w:ind w:firstLine="426"/>
        <w:rPr>
          <w:rFonts w:hint="eastAsia"/>
          <w:color w:val="auto"/>
          <w:szCs w:val="21"/>
          <w:highlight w:val="none"/>
        </w:rPr>
      </w:pPr>
      <w:r>
        <w:rPr>
          <w:rFonts w:hint="eastAsia" w:eastAsia="宋体"/>
          <w:color w:val="auto"/>
          <w:highlight w:val="none"/>
          <w:lang w:val="en-US" w:eastAsia="zh-CN"/>
        </w:rPr>
        <w:t>[4]</w:t>
      </w:r>
      <w:r>
        <w:rPr>
          <w:rFonts w:hint="eastAsia"/>
          <w:color w:val="auto"/>
          <w:szCs w:val="21"/>
          <w:highlight w:val="none"/>
        </w:rPr>
        <w:t>电子</w:t>
      </w:r>
      <w:r>
        <w:rPr>
          <w:rFonts w:hint="eastAsia"/>
          <w:color w:val="auto"/>
          <w:szCs w:val="21"/>
          <w:highlight w:val="none"/>
          <w:lang w:eastAsia="zh-CN"/>
        </w:rPr>
        <w:t>档案</w:t>
      </w:r>
      <w:r>
        <w:rPr>
          <w:rFonts w:hint="eastAsia"/>
          <w:color w:val="auto"/>
          <w:szCs w:val="21"/>
          <w:highlight w:val="none"/>
        </w:rPr>
        <w:t>移交与接收办法</w:t>
      </w:r>
      <w:r>
        <w:rPr>
          <w:rFonts w:hint="eastAsia"/>
          <w:color w:val="auto"/>
          <w:szCs w:val="21"/>
          <w:highlight w:val="none"/>
          <w:lang w:val="en-US" w:eastAsia="zh-CN"/>
        </w:rPr>
        <w:t>.</w:t>
      </w:r>
      <w:r>
        <w:rPr>
          <w:rFonts w:hint="eastAsia"/>
          <w:color w:val="auto"/>
          <w:szCs w:val="21"/>
          <w:highlight w:val="none"/>
        </w:rPr>
        <w:t>档发</w:t>
      </w:r>
      <w:r>
        <w:rPr>
          <w:rFonts w:hint="eastAsia" w:eastAsia="宋体"/>
          <w:color w:val="auto"/>
          <w:szCs w:val="21"/>
          <w:highlight w:val="none"/>
        </w:rPr>
        <w:t>﹝20</w:t>
      </w:r>
      <w:r>
        <w:rPr>
          <w:rFonts w:hint="eastAsia" w:eastAsia="宋体"/>
          <w:color w:val="auto"/>
          <w:szCs w:val="21"/>
          <w:highlight w:val="none"/>
          <w:lang w:val="en-US" w:eastAsia="zh-CN"/>
        </w:rPr>
        <w:t>12</w:t>
      </w:r>
      <w:r>
        <w:rPr>
          <w:rFonts w:hint="eastAsia" w:eastAsia="宋体"/>
          <w:color w:val="auto"/>
          <w:szCs w:val="21"/>
          <w:highlight w:val="none"/>
        </w:rPr>
        <w:t>﹞</w:t>
      </w:r>
      <w:r>
        <w:rPr>
          <w:rFonts w:hint="eastAsia"/>
          <w:color w:val="auto"/>
          <w:szCs w:val="21"/>
          <w:highlight w:val="none"/>
        </w:rPr>
        <w:t>7号</w:t>
      </w: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wordWrap w:val="0"/>
        <w:ind w:firstLine="426"/>
        <w:rPr>
          <w:rFonts w:hint="eastAsia"/>
          <w:color w:val="auto"/>
          <w:szCs w:val="21"/>
          <w:highlight w:val="none"/>
        </w:rPr>
      </w:pPr>
    </w:p>
    <w:p>
      <w:pPr>
        <w:jc w:val="center"/>
        <w:rPr>
          <w:rFonts w:hint="default" w:ascii="黑体" w:hAnsi="黑体" w:eastAsia="黑体" w:cs="黑体"/>
          <w:lang w:val="en"/>
        </w:rPr>
      </w:pPr>
      <w:r>
        <w:rPr>
          <w:rFonts w:hint="eastAsia" w:ascii="黑体" w:hAnsi="黑体" w:eastAsia="黑体" w:cs="黑体"/>
          <w:lang w:val="de-DE"/>
        </w:rPr>
        <w:t xml:space="preserve">附 录 </w:t>
      </w:r>
      <w:r>
        <w:rPr>
          <w:rFonts w:hint="default" w:ascii="黑体" w:hAnsi="黑体" w:eastAsia="黑体" w:cs="黑体"/>
          <w:lang w:val="en"/>
        </w:rPr>
        <w:t>A</w:t>
      </w:r>
    </w:p>
    <w:p>
      <w:pPr>
        <w:jc w:val="center"/>
        <w:rPr>
          <w:rFonts w:hint="default" w:ascii="黑体" w:hAnsi="黑体" w:eastAsia="黑体" w:cs="黑体"/>
          <w:lang w:val="en"/>
        </w:rPr>
      </w:pPr>
      <w:r>
        <w:rPr>
          <w:rFonts w:hint="default" w:ascii="黑体" w:hAnsi="黑体" w:eastAsia="黑体" w:cs="黑体"/>
          <w:lang w:val="en"/>
        </w:rPr>
        <w:t>（</w:t>
      </w:r>
      <w:r>
        <w:rPr>
          <w:rFonts w:hint="eastAsia" w:ascii="黑体" w:hAnsi="黑体" w:eastAsia="黑体" w:cs="黑体"/>
          <w:lang w:val="en" w:eastAsia="zh-CN"/>
        </w:rPr>
        <w:t>规范</w:t>
      </w:r>
      <w:r>
        <w:rPr>
          <w:rFonts w:hint="default" w:ascii="黑体" w:hAnsi="黑体" w:eastAsia="黑体" w:cs="黑体"/>
          <w:lang w:val="en"/>
        </w:rPr>
        <w:t>性附录）</w:t>
      </w:r>
    </w:p>
    <w:p>
      <w:pPr>
        <w:jc w:val="center"/>
        <w:rPr>
          <w:rFonts w:hint="eastAsia" w:ascii="黑体" w:hAnsi="黑体" w:eastAsia="黑体" w:cs="黑体"/>
          <w:lang w:val="de-DE"/>
        </w:rPr>
      </w:pPr>
      <w:r>
        <w:rPr>
          <w:rFonts w:hint="eastAsia" w:ascii="黑体" w:hAnsi="黑体" w:eastAsia="黑体" w:cs="黑体"/>
          <w:lang w:val="de-DE"/>
        </w:rPr>
        <w:t>电子会计资料归档接口数据及归档输出文件格式规范</w:t>
      </w:r>
    </w:p>
    <w:p>
      <w:pPr>
        <w:keepNext/>
        <w:keepLines/>
        <w:numPr>
          <w:ilvl w:val="0"/>
          <w:numId w:val="0"/>
        </w:numPr>
        <w:spacing w:before="260" w:after="260" w:line="415" w:lineRule="auto"/>
        <w:ind w:leftChars="0"/>
        <w:outlineLvl w:val="1"/>
        <w:rPr>
          <w:rFonts w:hint="eastAsia" w:ascii="等线 Light" w:hAnsi="等线 Light" w:eastAsia="宋体"/>
          <w:b/>
          <w:bCs/>
          <w:szCs w:val="32"/>
          <w:lang w:val="en"/>
        </w:rPr>
      </w:pPr>
      <w:bookmarkStart w:id="257" w:name="_Hlk3317700"/>
      <w:r>
        <w:rPr>
          <w:rFonts w:hint="eastAsia" w:ascii="等线 Light" w:hAnsi="等线 Light" w:eastAsia="宋体"/>
          <w:b/>
          <w:bCs/>
          <w:szCs w:val="32"/>
          <w:lang w:val="en-US" w:eastAsia="zh-CN"/>
        </w:rPr>
        <w:t>A.</w:t>
      </w:r>
      <w:r>
        <w:rPr>
          <w:rFonts w:hint="eastAsia" w:ascii="等线 Light" w:hAnsi="等线 Light" w:eastAsia="宋体"/>
          <w:b/>
          <w:bCs/>
          <w:szCs w:val="32"/>
          <w:lang w:val="en"/>
        </w:rPr>
        <w:t>1电子会计档案归档接口标准元素清单范围及属性</w:t>
      </w:r>
      <w:bookmarkEnd w:id="257"/>
    </w:p>
    <w:p>
      <w:pPr>
        <w:keepNext/>
        <w:keepLines/>
        <w:numPr>
          <w:ilvl w:val="0"/>
          <w:numId w:val="0"/>
        </w:numPr>
        <w:spacing w:before="260" w:after="260" w:line="415" w:lineRule="auto"/>
        <w:ind w:leftChars="0"/>
        <w:outlineLvl w:val="2"/>
        <w:rPr>
          <w:rFonts w:hint="default" w:ascii="等线" w:hAnsi="等线" w:eastAsia="宋体"/>
          <w:b/>
          <w:bCs/>
          <w:szCs w:val="32"/>
          <w:lang w:val="en"/>
        </w:rPr>
      </w:pPr>
      <w:r>
        <w:rPr>
          <w:rFonts w:hint="eastAsia" w:ascii="等线" w:hAnsi="等线" w:eastAsia="宋体"/>
          <w:b/>
          <w:bCs/>
          <w:szCs w:val="32"/>
          <w:lang w:val="en-US" w:eastAsia="zh-CN"/>
        </w:rPr>
        <w:t>A.</w:t>
      </w:r>
      <w:r>
        <w:rPr>
          <w:rFonts w:hint="eastAsia" w:ascii="等线" w:hAnsi="等线" w:eastAsia="宋体"/>
          <w:b/>
          <w:bCs/>
          <w:szCs w:val="32"/>
          <w:lang w:val="en"/>
        </w:rPr>
        <w:t>1</w:t>
      </w:r>
      <w:r>
        <w:rPr>
          <w:rFonts w:hint="default" w:ascii="等线" w:hAnsi="等线" w:eastAsia="宋体"/>
          <w:b/>
          <w:bCs/>
          <w:szCs w:val="32"/>
          <w:lang w:val="en"/>
        </w:rPr>
        <w:t>.1</w:t>
      </w:r>
      <w:r>
        <w:rPr>
          <w:rFonts w:hint="eastAsia" w:ascii="等线" w:hAnsi="等线" w:eastAsia="宋体"/>
          <w:b/>
          <w:bCs/>
          <w:szCs w:val="32"/>
          <w:lang w:val="en"/>
        </w:rPr>
        <w:t>财务模块</w:t>
      </w:r>
    </w:p>
    <w:p>
      <w:pPr>
        <w:pStyle w:val="5"/>
        <w:rPr>
          <w:color w:val="auto"/>
        </w:rPr>
      </w:pPr>
      <w:r>
        <w:rPr>
          <w:rFonts w:hint="eastAsia"/>
          <w:color w:val="auto"/>
          <w:lang w:val="en-US" w:eastAsia="zh-CN"/>
        </w:rPr>
        <w:t>A.</w:t>
      </w:r>
      <w:r>
        <w:rPr>
          <w:color w:val="auto"/>
        </w:rPr>
        <w:t>1.1.1</w:t>
      </w:r>
      <w:r>
        <w:rPr>
          <w:rFonts w:hint="eastAsia"/>
          <w:color w:val="auto"/>
        </w:rPr>
        <w:t>元素清单范围</w:t>
      </w:r>
    </w:p>
    <w:p>
      <w:pPr>
        <w:ind w:firstLine="560" w:firstLineChars="200"/>
        <w:rPr>
          <w:rFonts w:hint="eastAsia" w:ascii="仿宋" w:hAnsi="仿宋" w:eastAsia="仿宋"/>
          <w:color w:val="auto"/>
          <w:sz w:val="28"/>
          <w:szCs w:val="28"/>
        </w:rPr>
      </w:pPr>
      <w:r>
        <w:rPr>
          <w:rFonts w:hint="eastAsia" w:ascii="仿宋" w:hAnsi="仿宋" w:eastAsia="仿宋"/>
          <w:color w:val="auto"/>
          <w:sz w:val="28"/>
          <w:szCs w:val="28"/>
        </w:rPr>
        <w:t>1科目辅助核算、2会计科目、3现金流量项目、4科</w:t>
      </w:r>
      <w:r>
        <w:rPr>
          <w:rFonts w:ascii="仿宋" w:hAnsi="仿宋" w:eastAsia="仿宋"/>
          <w:color w:val="auto"/>
          <w:sz w:val="28"/>
          <w:szCs w:val="28"/>
        </w:rPr>
        <w:t>目余额及发生额、5记账凭证、6报表</w:t>
      </w:r>
      <w:r>
        <w:rPr>
          <w:rFonts w:hint="eastAsia" w:ascii="仿宋" w:hAnsi="仿宋" w:eastAsia="仿宋"/>
          <w:color w:val="auto"/>
          <w:sz w:val="28"/>
          <w:szCs w:val="28"/>
        </w:rPr>
        <w:t>、</w:t>
      </w:r>
      <w:r>
        <w:rPr>
          <w:rFonts w:ascii="仿宋" w:hAnsi="仿宋" w:eastAsia="仿宋"/>
          <w:color w:val="auto"/>
          <w:sz w:val="28"/>
          <w:szCs w:val="28"/>
        </w:rPr>
        <w:t>7报表项</w:t>
      </w:r>
      <w:r>
        <w:rPr>
          <w:rFonts w:hint="eastAsia" w:ascii="仿宋" w:hAnsi="仿宋" w:eastAsia="仿宋"/>
          <w:color w:val="auto"/>
          <w:sz w:val="28"/>
          <w:szCs w:val="28"/>
        </w:rPr>
        <w:t>、</w:t>
      </w:r>
      <w:r>
        <w:rPr>
          <w:rFonts w:ascii="仿宋" w:hAnsi="仿宋" w:eastAsia="仿宋"/>
          <w:color w:val="auto"/>
          <w:sz w:val="28"/>
          <w:szCs w:val="28"/>
        </w:rPr>
        <w:t>8</w:t>
      </w:r>
      <w:r>
        <w:rPr>
          <w:rFonts w:hint="eastAsia" w:ascii="仿宋" w:hAnsi="仿宋" w:eastAsia="仿宋"/>
          <w:color w:val="auto"/>
          <w:sz w:val="28"/>
          <w:szCs w:val="28"/>
        </w:rPr>
        <w:t>应收明细、</w:t>
      </w:r>
      <w:r>
        <w:rPr>
          <w:rFonts w:ascii="仿宋" w:hAnsi="仿宋" w:eastAsia="仿宋"/>
          <w:color w:val="auto"/>
          <w:sz w:val="28"/>
          <w:szCs w:val="28"/>
        </w:rPr>
        <w:t>9</w:t>
      </w:r>
      <w:r>
        <w:rPr>
          <w:rFonts w:hint="eastAsia" w:ascii="仿宋" w:hAnsi="仿宋" w:eastAsia="仿宋"/>
          <w:color w:val="auto"/>
          <w:sz w:val="28"/>
          <w:szCs w:val="28"/>
        </w:rPr>
        <w:t>应付明细、</w:t>
      </w:r>
      <w:r>
        <w:rPr>
          <w:rFonts w:ascii="仿宋" w:hAnsi="仿宋" w:eastAsia="仿宋"/>
          <w:color w:val="auto"/>
          <w:sz w:val="28"/>
          <w:szCs w:val="28"/>
        </w:rPr>
        <w:t>10固定资产卡片档案</w:t>
      </w:r>
      <w:r>
        <w:rPr>
          <w:rFonts w:hint="eastAsia" w:ascii="仿宋" w:hAnsi="仿宋" w:eastAsia="仿宋"/>
          <w:color w:val="auto"/>
          <w:sz w:val="28"/>
          <w:szCs w:val="28"/>
        </w:rPr>
        <w:t>、</w:t>
      </w:r>
      <w:r>
        <w:rPr>
          <w:rFonts w:ascii="仿宋" w:hAnsi="仿宋" w:eastAsia="仿宋"/>
          <w:color w:val="auto"/>
          <w:sz w:val="28"/>
          <w:szCs w:val="28"/>
        </w:rPr>
        <w:t>11固定资产实物信息档案</w:t>
      </w:r>
      <w:r>
        <w:rPr>
          <w:rFonts w:hint="eastAsia" w:ascii="仿宋" w:hAnsi="仿宋" w:eastAsia="仿宋"/>
          <w:color w:val="auto"/>
          <w:sz w:val="28"/>
          <w:szCs w:val="28"/>
        </w:rPr>
        <w:t>、</w:t>
      </w:r>
      <w:r>
        <w:rPr>
          <w:rFonts w:ascii="仿宋" w:hAnsi="仿宋" w:eastAsia="仿宋"/>
          <w:color w:val="auto"/>
          <w:sz w:val="28"/>
          <w:szCs w:val="28"/>
        </w:rPr>
        <w:t>12固定资产使用信息档案</w:t>
      </w:r>
      <w:r>
        <w:rPr>
          <w:rFonts w:hint="eastAsia" w:ascii="仿宋" w:hAnsi="仿宋" w:eastAsia="仿宋"/>
          <w:color w:val="auto"/>
          <w:sz w:val="28"/>
          <w:szCs w:val="28"/>
        </w:rPr>
        <w:t>、1</w:t>
      </w:r>
      <w:r>
        <w:rPr>
          <w:rFonts w:ascii="仿宋" w:hAnsi="仿宋" w:eastAsia="仿宋"/>
          <w:color w:val="auto"/>
          <w:sz w:val="28"/>
          <w:szCs w:val="28"/>
        </w:rPr>
        <w:t>3固定资产减少情况档案</w:t>
      </w:r>
      <w:r>
        <w:rPr>
          <w:rFonts w:hint="eastAsia" w:ascii="仿宋" w:hAnsi="仿宋" w:eastAsia="仿宋"/>
          <w:color w:val="auto"/>
          <w:sz w:val="28"/>
          <w:szCs w:val="28"/>
        </w:rPr>
        <w:t>、</w:t>
      </w:r>
      <w:r>
        <w:rPr>
          <w:rFonts w:ascii="仿宋" w:hAnsi="仿宋" w:eastAsia="仿宋"/>
          <w:color w:val="auto"/>
          <w:sz w:val="28"/>
          <w:szCs w:val="28"/>
        </w:rPr>
        <w:t>14固定资产减少实物信息档案</w:t>
      </w:r>
      <w:r>
        <w:rPr>
          <w:rFonts w:hint="eastAsia" w:ascii="仿宋" w:hAnsi="仿宋" w:eastAsia="仿宋"/>
          <w:color w:val="auto"/>
          <w:sz w:val="28"/>
          <w:szCs w:val="28"/>
        </w:rPr>
        <w:t>、</w:t>
      </w:r>
      <w:r>
        <w:rPr>
          <w:rFonts w:ascii="仿宋" w:hAnsi="仿宋" w:eastAsia="仿宋"/>
          <w:color w:val="auto"/>
          <w:sz w:val="28"/>
          <w:szCs w:val="28"/>
        </w:rPr>
        <w:t>15固定资产其他变动情况档案</w:t>
      </w:r>
      <w:r>
        <w:rPr>
          <w:rFonts w:hint="eastAsia" w:ascii="仿宋" w:hAnsi="仿宋" w:eastAsia="仿宋"/>
          <w:color w:val="auto"/>
          <w:sz w:val="28"/>
          <w:szCs w:val="28"/>
        </w:rPr>
        <w:t>、</w:t>
      </w:r>
      <w:r>
        <w:rPr>
          <w:rFonts w:ascii="仿宋" w:hAnsi="仿宋" w:eastAsia="仿宋"/>
          <w:color w:val="auto"/>
          <w:sz w:val="28"/>
          <w:szCs w:val="28"/>
        </w:rPr>
        <w:t>16固定资产其他变动实物信息档案</w:t>
      </w:r>
      <w:r>
        <w:rPr>
          <w:rFonts w:hint="eastAsia" w:ascii="仿宋" w:hAnsi="仿宋" w:eastAsia="仿宋"/>
          <w:color w:val="auto"/>
          <w:sz w:val="28"/>
          <w:szCs w:val="28"/>
        </w:rPr>
        <w:t>、</w:t>
      </w:r>
      <w:r>
        <w:rPr>
          <w:rFonts w:ascii="仿宋" w:hAnsi="仿宋" w:eastAsia="仿宋"/>
          <w:color w:val="auto"/>
          <w:sz w:val="28"/>
          <w:szCs w:val="28"/>
        </w:rPr>
        <w:t>17</w:t>
      </w:r>
      <w:r>
        <w:rPr>
          <w:rFonts w:hint="eastAsia" w:ascii="仿宋" w:hAnsi="仿宋" w:eastAsia="仿宋"/>
          <w:color w:val="auto"/>
          <w:sz w:val="28"/>
          <w:szCs w:val="28"/>
        </w:rPr>
        <w:t>薪酬期间、</w:t>
      </w:r>
      <w:r>
        <w:rPr>
          <w:rFonts w:ascii="仿宋" w:hAnsi="仿宋" w:eastAsia="仿宋"/>
          <w:color w:val="auto"/>
          <w:sz w:val="28"/>
          <w:szCs w:val="28"/>
        </w:rPr>
        <w:t>18</w:t>
      </w:r>
      <w:r>
        <w:rPr>
          <w:rFonts w:hint="eastAsia" w:ascii="仿宋" w:hAnsi="仿宋" w:eastAsia="仿宋"/>
          <w:color w:val="auto"/>
          <w:sz w:val="28"/>
          <w:szCs w:val="28"/>
        </w:rPr>
        <w:t>职工薪酬记录、1</w:t>
      </w:r>
      <w:r>
        <w:rPr>
          <w:rFonts w:ascii="仿宋" w:hAnsi="仿宋" w:eastAsia="仿宋"/>
          <w:color w:val="auto"/>
          <w:sz w:val="28"/>
          <w:szCs w:val="28"/>
        </w:rPr>
        <w:t>9</w:t>
      </w:r>
      <w:r>
        <w:rPr>
          <w:rFonts w:hint="eastAsia" w:ascii="仿宋" w:hAnsi="仿宋" w:eastAsia="仿宋"/>
          <w:color w:val="auto"/>
          <w:sz w:val="28"/>
          <w:szCs w:val="28"/>
        </w:rPr>
        <w:t>本年预算指标（行政事业单位）、2</w:t>
      </w:r>
      <w:r>
        <w:rPr>
          <w:rFonts w:ascii="仿宋" w:hAnsi="仿宋" w:eastAsia="仿宋"/>
          <w:color w:val="auto"/>
          <w:sz w:val="28"/>
          <w:szCs w:val="28"/>
        </w:rPr>
        <w:t>0</w:t>
      </w:r>
      <w:r>
        <w:rPr>
          <w:rFonts w:hint="eastAsia" w:ascii="仿宋" w:hAnsi="仿宋" w:eastAsia="仿宋"/>
          <w:color w:val="auto"/>
          <w:sz w:val="28"/>
          <w:szCs w:val="28"/>
        </w:rPr>
        <w:t>预算支出情况表（行政事业单位）、2</w:t>
      </w:r>
      <w:r>
        <w:rPr>
          <w:rFonts w:ascii="仿宋" w:hAnsi="仿宋" w:eastAsia="仿宋"/>
          <w:color w:val="auto"/>
          <w:sz w:val="28"/>
          <w:szCs w:val="28"/>
        </w:rPr>
        <w:t>1</w:t>
      </w:r>
      <w:r>
        <w:rPr>
          <w:rFonts w:hint="eastAsia" w:ascii="仿宋" w:hAnsi="仿宋" w:eastAsia="仿宋"/>
          <w:color w:val="auto"/>
          <w:sz w:val="28"/>
          <w:szCs w:val="28"/>
        </w:rPr>
        <w:t>预算收入情况表（行政事业单位）</w:t>
      </w:r>
    </w:p>
    <w:p>
      <w:pPr>
        <w:pStyle w:val="5"/>
        <w:rPr>
          <w:color w:val="auto"/>
        </w:rPr>
      </w:pPr>
      <w:r>
        <w:rPr>
          <w:rFonts w:hint="eastAsia"/>
          <w:color w:val="auto"/>
          <w:lang w:val="en-US" w:eastAsia="zh-CN"/>
        </w:rPr>
        <w:t>A.</w:t>
      </w:r>
      <w:r>
        <w:rPr>
          <w:color w:val="auto"/>
        </w:rPr>
        <w:t>1.1.2</w:t>
      </w:r>
      <w:r>
        <w:rPr>
          <w:rFonts w:hint="eastAsia"/>
          <w:color w:val="auto"/>
        </w:rPr>
        <w:t>元素清单及属性</w:t>
      </w:r>
    </w:p>
    <w:tbl>
      <w:tblPr>
        <w:tblStyle w:val="24"/>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060"/>
        <w:gridCol w:w="1100"/>
        <w:gridCol w:w="2410"/>
        <w:gridCol w:w="708"/>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编号</w:t>
            </w:r>
          </w:p>
        </w:tc>
        <w:tc>
          <w:tcPr>
            <w:tcW w:w="106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子模块名</w:t>
            </w: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业务元素标识符</w:t>
            </w:r>
          </w:p>
        </w:tc>
        <w:tc>
          <w:tcPr>
            <w:tcW w:w="241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业务元素名称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级别</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是否虚元素</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olor w:val="auto"/>
                <w:sz w:val="20"/>
                <w:szCs w:val="20"/>
              </w:rPr>
            </w:pPr>
            <w:r>
              <w:rPr>
                <w:rFonts w:ascii="仿宋" w:hAnsi="仿宋" w:eastAsia="仿宋"/>
                <w:color w:val="auto"/>
                <w:sz w:val="20"/>
                <w:szCs w:val="20"/>
              </w:rPr>
              <w:t>1</w:t>
            </w:r>
          </w:p>
        </w:tc>
        <w:tc>
          <w:tcPr>
            <w:tcW w:w="1060" w:type="dxa"/>
            <w:vMerge w:val="restart"/>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科目辅助核算</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010101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科目辅助核算类编码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010102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科目辅助核算类名称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010103</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科目辅助核算类序号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010104</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是否有层级特征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010105</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科目辅助核算项</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olor w:val="auto"/>
                <w:sz w:val="20"/>
                <w:szCs w:val="20"/>
              </w:rPr>
            </w:pPr>
            <w:r>
              <w:rPr>
                <w:rFonts w:ascii="仿宋" w:hAnsi="仿宋" w:eastAsia="仿宋"/>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010106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科目辅助核算项编码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010107</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科目辅助核算项名称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010108</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科目辅助核算项级次</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060" w:type="dxa"/>
            <w:vMerge w:val="restart"/>
            <w:vAlign w:val="top"/>
          </w:tcPr>
          <w:p>
            <w:pPr>
              <w:rPr>
                <w:rFonts w:ascii="仿宋" w:hAnsi="仿宋" w:eastAsia="仿宋" w:cs="宋体"/>
                <w:color w:val="auto"/>
                <w:sz w:val="20"/>
                <w:szCs w:val="20"/>
              </w:rPr>
            </w:pPr>
            <w:r>
              <w:rPr>
                <w:rFonts w:hint="eastAsia" w:ascii="仿宋" w:hAnsi="仿宋" w:eastAsia="仿宋" w:cs="宋体"/>
                <w:color w:val="auto"/>
                <w:sz w:val="20"/>
                <w:szCs w:val="20"/>
              </w:rPr>
              <w:t>会计科目</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科目编号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010203</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科目级次</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010204</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科目类型</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010205</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科目辅助核算设置</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olor w:val="auto"/>
                <w:sz w:val="20"/>
                <w:szCs w:val="20"/>
              </w:rPr>
            </w:pPr>
            <w:r>
              <w:rPr>
                <w:rFonts w:ascii="仿宋" w:hAnsi="仿宋" w:eastAsia="仿宋"/>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010101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科目辅助核算类编码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restart"/>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060" w:type="dxa"/>
            <w:vMerge w:val="restart"/>
            <w:vAlign w:val="top"/>
          </w:tcPr>
          <w:p>
            <w:pPr>
              <w:rPr>
                <w:rFonts w:ascii="仿宋" w:hAnsi="仿宋" w:eastAsia="仿宋" w:cs="宋体"/>
                <w:color w:val="auto"/>
                <w:sz w:val="20"/>
                <w:szCs w:val="20"/>
              </w:rPr>
            </w:pPr>
            <w:r>
              <w:rPr>
                <w:rFonts w:hint="eastAsia" w:ascii="仿宋" w:hAnsi="仿宋" w:eastAsia="仿宋" w:cs="宋体"/>
                <w:color w:val="auto"/>
                <w:sz w:val="20"/>
                <w:szCs w:val="20"/>
              </w:rPr>
              <w:t>现金流量项目</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010301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现金流量项目编码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010302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现金流量项目名称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010303</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是否末级</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010304</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现金流量项目级次</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010305</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是否主表项目</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010306</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现金流量项目属性</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olor w:val="auto"/>
                <w:sz w:val="20"/>
                <w:szCs w:val="20"/>
              </w:rPr>
            </w:pPr>
            <w:r>
              <w:rPr>
                <w:rFonts w:ascii="仿宋" w:hAnsi="仿宋" w:eastAsia="仿宋"/>
                <w:color w:val="auto"/>
                <w:sz w:val="20"/>
                <w:szCs w:val="20"/>
              </w:rPr>
              <w:t>4</w:t>
            </w:r>
          </w:p>
        </w:tc>
        <w:tc>
          <w:tcPr>
            <w:tcW w:w="1060" w:type="dxa"/>
            <w:vMerge w:val="restart"/>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科目余额及发生额</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010201</w:t>
            </w:r>
          </w:p>
        </w:tc>
        <w:tc>
          <w:tcPr>
            <w:tcW w:w="2410" w:type="dxa"/>
            <w:vAlign w:val="top"/>
          </w:tcPr>
          <w:p>
            <w:pPr>
              <w:tabs>
                <w:tab w:val="right" w:pos="2046"/>
              </w:tabs>
              <w:rPr>
                <w:rFonts w:ascii="仿宋" w:hAnsi="仿宋" w:eastAsia="仿宋" w:cs="宋体"/>
                <w:color w:val="auto"/>
                <w:sz w:val="20"/>
                <w:szCs w:val="20"/>
              </w:rPr>
            </w:pPr>
            <w:r>
              <w:rPr>
                <w:rFonts w:hint="eastAsia" w:ascii="仿宋" w:hAnsi="仿宋" w:eastAsia="仿宋" w:cs="宋体"/>
                <w:color w:val="auto"/>
                <w:sz w:val="20"/>
                <w:szCs w:val="20"/>
              </w:rPr>
              <w:t>科目编号</w:t>
            </w:r>
            <w:r>
              <w:rPr>
                <w:rFonts w:ascii="仿宋" w:hAnsi="仿宋" w:eastAsia="仿宋" w:cs="宋体"/>
                <w:color w:val="auto"/>
                <w:sz w:val="20"/>
                <w:szCs w:val="20"/>
              </w:rPr>
              <w:tab/>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科目辅助核算信息</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olor w:val="auto"/>
                <w:sz w:val="20"/>
                <w:szCs w:val="20"/>
              </w:rPr>
            </w:pPr>
            <w:r>
              <w:rPr>
                <w:rFonts w:ascii="仿宋" w:hAnsi="仿宋" w:eastAsia="仿宋"/>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010101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科目辅助核算类编码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辅助核算项编码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辅助核算项名称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050701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010404</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期初原币余额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010405</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期初本币余额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010406</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期初余额方向</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010407</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借方原币金额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010408</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借方本币金额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010409</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贷方原币金额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010410</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贷方本币金额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期末原币余额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期末本币余额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010413</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期末余额方向</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010414</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计量单位</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010415</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期初数量</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010416</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借方数量</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010417</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贷方数量</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010418</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期末数量</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olor w:val="auto"/>
                <w:sz w:val="20"/>
                <w:szCs w:val="20"/>
              </w:rPr>
            </w:pPr>
            <w:r>
              <w:rPr>
                <w:rFonts w:ascii="仿宋" w:hAnsi="仿宋" w:eastAsia="仿宋"/>
                <w:color w:val="auto"/>
                <w:sz w:val="20"/>
                <w:szCs w:val="20"/>
              </w:rPr>
              <w:t>5</w:t>
            </w:r>
          </w:p>
        </w:tc>
        <w:tc>
          <w:tcPr>
            <w:tcW w:w="1060" w:type="dxa"/>
            <w:vMerge w:val="restart"/>
            <w:vAlign w:val="top"/>
          </w:tcPr>
          <w:p>
            <w:pPr>
              <w:rPr>
                <w:rFonts w:ascii="仿宋" w:hAnsi="仿宋" w:eastAsia="仿宋" w:cs="宋体"/>
                <w:color w:val="auto"/>
                <w:sz w:val="20"/>
                <w:szCs w:val="20"/>
              </w:rPr>
            </w:pPr>
            <w:r>
              <w:rPr>
                <w:rFonts w:hint="eastAsia" w:ascii="仿宋" w:hAnsi="仿宋" w:eastAsia="仿宋" w:cs="宋体"/>
                <w:color w:val="auto"/>
                <w:sz w:val="20"/>
                <w:szCs w:val="20"/>
              </w:rPr>
              <w:t>记账凭证</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记账凭证日期</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050901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记账凭证类型编号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010503</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附件数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010504</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制单人用户编码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010505</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制单人用户名称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010506</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审核人用户编码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010507</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审核人用户名称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010508</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记账人用户编码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010509</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记账人用户名称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010510</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010511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010512</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010513</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最后修改人编码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010514</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最后修改人名称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010515</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最后修改时间</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010516</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过账状态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010517</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凭证来源</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010518</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来源单据号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010519</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借方合计金额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010520</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贷方合计金额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hint="eastAsia" w:ascii="仿宋" w:hAnsi="仿宋" w:eastAsia="仿宋"/>
                <w:color w:val="auto"/>
                <w:sz w:val="20"/>
                <w:szCs w:val="20"/>
              </w:rPr>
              <w:t>0</w:t>
            </w:r>
            <w:r>
              <w:rPr>
                <w:rFonts w:ascii="仿宋" w:hAnsi="仿宋" w:eastAsia="仿宋"/>
                <w:color w:val="auto"/>
                <w:sz w:val="20"/>
                <w:szCs w:val="20"/>
              </w:rPr>
              <w:t>10521</w:t>
            </w:r>
          </w:p>
        </w:tc>
        <w:tc>
          <w:tcPr>
            <w:tcW w:w="2410" w:type="dxa"/>
            <w:vAlign w:val="top"/>
          </w:tcPr>
          <w:p>
            <w:pPr>
              <w:rPr>
                <w:rFonts w:hint="eastAsia" w:ascii="仿宋" w:hAnsi="仿宋" w:eastAsia="仿宋" w:cs="宋体"/>
                <w:color w:val="auto"/>
                <w:sz w:val="20"/>
                <w:szCs w:val="20"/>
              </w:rPr>
            </w:pPr>
            <w:r>
              <w:rPr>
                <w:rFonts w:hint="eastAsia" w:ascii="仿宋" w:hAnsi="仿宋" w:eastAsia="仿宋" w:cs="宋体"/>
                <w:color w:val="auto"/>
                <w:sz w:val="20"/>
                <w:szCs w:val="20"/>
              </w:rPr>
              <w:t>记账凭证行</w:t>
            </w:r>
          </w:p>
        </w:tc>
        <w:tc>
          <w:tcPr>
            <w:tcW w:w="708" w:type="dxa"/>
            <w:vAlign w:val="top"/>
          </w:tcPr>
          <w:p>
            <w:pPr>
              <w:jc w:val="center"/>
              <w:rPr>
                <w:rFonts w:ascii="仿宋" w:hAnsi="仿宋" w:eastAsia="仿宋"/>
                <w:color w:val="auto"/>
                <w:sz w:val="20"/>
                <w:szCs w:val="20"/>
              </w:rPr>
            </w:pPr>
            <w:r>
              <w:rPr>
                <w:rFonts w:hint="eastAsia" w:ascii="仿宋" w:hAnsi="仿宋" w:eastAsia="仿宋"/>
                <w:color w:val="auto"/>
                <w:sz w:val="20"/>
                <w:szCs w:val="20"/>
              </w:rPr>
              <w:t>2</w:t>
            </w:r>
          </w:p>
        </w:tc>
        <w:tc>
          <w:tcPr>
            <w:tcW w:w="1134" w:type="dxa"/>
            <w:vAlign w:val="top"/>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010522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记账凭证行号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010523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记账凭证摘要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科目编号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科目辅助核算信息</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olor w:val="auto"/>
                <w:sz w:val="20"/>
                <w:szCs w:val="20"/>
              </w:rPr>
            </w:pPr>
            <w:r>
              <w:rPr>
                <w:rFonts w:ascii="仿宋" w:hAnsi="仿宋" w:eastAsia="仿宋"/>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010101</w:t>
            </w:r>
          </w:p>
        </w:tc>
        <w:tc>
          <w:tcPr>
            <w:tcW w:w="2410" w:type="dxa"/>
            <w:vAlign w:val="top"/>
          </w:tcPr>
          <w:p>
            <w:pPr>
              <w:ind w:firstLine="400" w:firstLineChars="200"/>
              <w:rPr>
                <w:rFonts w:ascii="仿宋" w:hAnsi="仿宋" w:eastAsia="仿宋" w:cs="宋体"/>
                <w:color w:val="auto"/>
                <w:sz w:val="20"/>
                <w:szCs w:val="20"/>
              </w:rPr>
            </w:pPr>
            <w:r>
              <w:rPr>
                <w:rFonts w:hint="eastAsia" w:ascii="仿宋" w:hAnsi="仿宋" w:eastAsia="仿宋" w:cs="宋体"/>
                <w:color w:val="auto"/>
                <w:sz w:val="20"/>
                <w:szCs w:val="20"/>
              </w:rPr>
              <w:t>科目辅助核算类编码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4</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010402</w:t>
            </w:r>
          </w:p>
        </w:tc>
        <w:tc>
          <w:tcPr>
            <w:tcW w:w="2410" w:type="dxa"/>
            <w:vAlign w:val="top"/>
          </w:tcPr>
          <w:p>
            <w:pPr>
              <w:ind w:firstLine="400" w:firstLineChars="200"/>
              <w:rPr>
                <w:rFonts w:ascii="仿宋" w:hAnsi="仿宋" w:eastAsia="仿宋" w:cs="宋体"/>
                <w:color w:val="auto"/>
                <w:sz w:val="20"/>
                <w:szCs w:val="20"/>
              </w:rPr>
            </w:pPr>
            <w:r>
              <w:rPr>
                <w:rFonts w:hint="eastAsia" w:ascii="仿宋" w:hAnsi="仿宋" w:eastAsia="仿宋" w:cs="宋体"/>
                <w:color w:val="auto"/>
                <w:sz w:val="20"/>
                <w:szCs w:val="20"/>
              </w:rPr>
              <w:t>辅助核算项编码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4</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010403</w:t>
            </w:r>
          </w:p>
        </w:tc>
        <w:tc>
          <w:tcPr>
            <w:tcW w:w="2410" w:type="dxa"/>
            <w:vAlign w:val="top"/>
          </w:tcPr>
          <w:p>
            <w:pPr>
              <w:ind w:firstLine="400" w:firstLineChars="200"/>
              <w:rPr>
                <w:rFonts w:ascii="仿宋" w:hAnsi="仿宋" w:eastAsia="仿宋" w:cs="宋体"/>
                <w:color w:val="auto"/>
                <w:sz w:val="20"/>
                <w:szCs w:val="20"/>
              </w:rPr>
            </w:pPr>
            <w:r>
              <w:rPr>
                <w:rFonts w:hint="eastAsia" w:ascii="仿宋" w:hAnsi="仿宋" w:eastAsia="仿宋" w:cs="宋体"/>
                <w:color w:val="auto"/>
                <w:sz w:val="20"/>
                <w:szCs w:val="20"/>
              </w:rPr>
              <w:t>辅助核算项名称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4</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050701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051001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汇率类型编号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010524</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010414</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计量单位</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010525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单价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借方数量</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010417</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贷方数量</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010407</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借方原币金额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010408</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借方本币金额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010409</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贷方原币金额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010410</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贷方本币金额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010526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现金流量信息</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olor w:val="auto"/>
                <w:sz w:val="20"/>
                <w:szCs w:val="20"/>
              </w:rPr>
            </w:pPr>
            <w:r>
              <w:rPr>
                <w:rFonts w:ascii="仿宋" w:hAnsi="仿宋" w:eastAsia="仿宋"/>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010301</w:t>
            </w:r>
          </w:p>
        </w:tc>
        <w:tc>
          <w:tcPr>
            <w:tcW w:w="2410" w:type="dxa"/>
            <w:vAlign w:val="top"/>
          </w:tcPr>
          <w:p>
            <w:pPr>
              <w:ind w:firstLine="400" w:firstLineChars="200"/>
              <w:rPr>
                <w:rFonts w:ascii="仿宋" w:hAnsi="仿宋" w:eastAsia="仿宋" w:cs="宋体"/>
                <w:color w:val="auto"/>
                <w:sz w:val="20"/>
                <w:szCs w:val="20"/>
              </w:rPr>
            </w:pPr>
            <w:r>
              <w:rPr>
                <w:rFonts w:hint="eastAsia" w:ascii="仿宋" w:hAnsi="仿宋" w:eastAsia="仿宋" w:cs="宋体"/>
                <w:color w:val="auto"/>
                <w:sz w:val="20"/>
                <w:szCs w:val="20"/>
              </w:rPr>
              <w:t>现金流量项目编码</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4</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010302</w:t>
            </w:r>
          </w:p>
        </w:tc>
        <w:tc>
          <w:tcPr>
            <w:tcW w:w="2410" w:type="dxa"/>
            <w:vAlign w:val="top"/>
          </w:tcPr>
          <w:p>
            <w:pPr>
              <w:ind w:firstLine="400" w:firstLineChars="200"/>
              <w:rPr>
                <w:rFonts w:ascii="仿宋" w:hAnsi="仿宋" w:eastAsia="仿宋" w:cs="宋体"/>
                <w:color w:val="auto"/>
                <w:sz w:val="20"/>
                <w:szCs w:val="20"/>
              </w:rPr>
            </w:pPr>
            <w:r>
              <w:rPr>
                <w:rFonts w:hint="eastAsia" w:ascii="仿宋" w:hAnsi="仿宋" w:eastAsia="仿宋" w:cs="宋体"/>
                <w:color w:val="auto"/>
                <w:sz w:val="20"/>
                <w:szCs w:val="20"/>
              </w:rPr>
              <w:t>现金流量项目名称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4</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010527</w:t>
            </w:r>
          </w:p>
        </w:tc>
        <w:tc>
          <w:tcPr>
            <w:tcW w:w="2410" w:type="dxa"/>
            <w:vAlign w:val="top"/>
          </w:tcPr>
          <w:p>
            <w:pPr>
              <w:ind w:firstLine="400" w:firstLineChars="200"/>
              <w:rPr>
                <w:rFonts w:ascii="仿宋" w:hAnsi="仿宋" w:eastAsia="仿宋" w:cs="宋体"/>
                <w:color w:val="auto"/>
                <w:sz w:val="20"/>
                <w:szCs w:val="20"/>
              </w:rPr>
            </w:pPr>
            <w:r>
              <w:rPr>
                <w:rFonts w:hint="eastAsia" w:ascii="仿宋" w:hAnsi="仿宋" w:eastAsia="仿宋" w:cs="宋体"/>
                <w:color w:val="auto"/>
                <w:sz w:val="20"/>
                <w:szCs w:val="20"/>
              </w:rPr>
              <w:t>现金流量本币金额</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4</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olor w:val="auto"/>
                <w:sz w:val="20"/>
                <w:szCs w:val="20"/>
              </w:rPr>
            </w:pPr>
            <w:r>
              <w:rPr>
                <w:rFonts w:ascii="仿宋" w:hAnsi="仿宋" w:eastAsia="仿宋"/>
                <w:color w:val="auto"/>
                <w:sz w:val="20"/>
                <w:szCs w:val="20"/>
              </w:rPr>
              <w:t>6</w:t>
            </w:r>
          </w:p>
        </w:tc>
        <w:tc>
          <w:tcPr>
            <w:tcW w:w="1060" w:type="dxa"/>
            <w:vMerge w:val="restart"/>
            <w:vAlign w:val="top"/>
          </w:tcPr>
          <w:p>
            <w:pPr>
              <w:rPr>
                <w:rFonts w:ascii="仿宋" w:hAnsi="仿宋" w:eastAsia="仿宋" w:cs="宋体"/>
                <w:color w:val="auto"/>
                <w:sz w:val="20"/>
                <w:szCs w:val="20"/>
              </w:rPr>
            </w:pPr>
            <w:r>
              <w:rPr>
                <w:rFonts w:hint="eastAsia" w:ascii="仿宋" w:hAnsi="仿宋" w:eastAsia="仿宋" w:cs="宋体"/>
                <w:color w:val="auto"/>
                <w:sz w:val="20"/>
                <w:szCs w:val="20"/>
              </w:rPr>
              <w:t>报表</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010601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报表编号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010602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报表名称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010603</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报表报告日</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010604</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报表报告期</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010605</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编制单位</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010606</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货币单位</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olor w:val="auto"/>
                <w:sz w:val="20"/>
                <w:szCs w:val="20"/>
              </w:rPr>
            </w:pPr>
            <w:r>
              <w:rPr>
                <w:rFonts w:ascii="仿宋" w:hAnsi="仿宋" w:eastAsia="仿宋"/>
                <w:color w:val="auto"/>
                <w:sz w:val="20"/>
                <w:szCs w:val="20"/>
              </w:rPr>
              <w:t>7</w:t>
            </w:r>
          </w:p>
        </w:tc>
        <w:tc>
          <w:tcPr>
            <w:tcW w:w="1060" w:type="dxa"/>
            <w:vMerge w:val="restart"/>
            <w:vAlign w:val="top"/>
          </w:tcPr>
          <w:p>
            <w:pPr>
              <w:rPr>
                <w:rFonts w:ascii="仿宋" w:hAnsi="仿宋" w:eastAsia="仿宋" w:cs="宋体"/>
                <w:color w:val="auto"/>
                <w:sz w:val="20"/>
                <w:szCs w:val="20"/>
              </w:rPr>
            </w:pPr>
            <w:r>
              <w:rPr>
                <w:rFonts w:hint="eastAsia" w:ascii="仿宋" w:hAnsi="仿宋" w:eastAsia="仿宋" w:cs="宋体"/>
                <w:color w:val="auto"/>
                <w:sz w:val="20"/>
                <w:szCs w:val="20"/>
              </w:rPr>
              <w:t>报表项数据</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010601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报表编号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010701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报表项编号</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010702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报表项名称</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010703</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报表项数值</w:t>
            </w:r>
          </w:p>
        </w:tc>
        <w:tc>
          <w:tcPr>
            <w:tcW w:w="708" w:type="dxa"/>
            <w:vAlign w:val="top"/>
          </w:tcPr>
          <w:p>
            <w:pPr>
              <w:jc w:val="center"/>
              <w:rPr>
                <w:rFonts w:ascii="仿宋" w:hAnsi="仿宋" w:eastAsia="仿宋"/>
                <w:color w:val="auto"/>
                <w:sz w:val="20"/>
                <w:szCs w:val="20"/>
              </w:rPr>
            </w:pPr>
            <w:r>
              <w:rPr>
                <w:rFonts w:ascii="仿宋" w:hAnsi="仿宋" w:eastAsia="仿宋"/>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s="宋体"/>
                <w:color w:val="auto"/>
                <w:sz w:val="24"/>
                <w:szCs w:val="24"/>
              </w:rPr>
            </w:pPr>
            <w:r>
              <w:rPr>
                <w:rFonts w:hint="eastAsia" w:ascii="仿宋" w:hAnsi="仿宋" w:eastAsia="仿宋" w:cs="宋体"/>
                <w:color w:val="auto"/>
                <w:sz w:val="24"/>
                <w:szCs w:val="24"/>
              </w:rPr>
              <w:t>8</w:t>
            </w:r>
          </w:p>
        </w:tc>
        <w:tc>
          <w:tcPr>
            <w:tcW w:w="1060" w:type="dxa"/>
            <w:vMerge w:val="restart"/>
            <w:vAlign w:val="top"/>
          </w:tcPr>
          <w:p>
            <w:pPr>
              <w:rPr>
                <w:rFonts w:ascii="仿宋" w:hAnsi="仿宋" w:eastAsia="仿宋" w:cs="宋体"/>
                <w:color w:val="auto"/>
                <w:sz w:val="20"/>
                <w:szCs w:val="20"/>
              </w:rPr>
            </w:pPr>
            <w:r>
              <w:rPr>
                <w:rFonts w:hint="eastAsia" w:ascii="仿宋" w:hAnsi="仿宋" w:eastAsia="仿宋" w:cs="宋体"/>
                <w:color w:val="auto"/>
                <w:sz w:val="20"/>
                <w:szCs w:val="20"/>
              </w:rPr>
              <w:t>应收明细</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记账凭证日期</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050901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记账凭证类型编号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010502</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010801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应收交易明细</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olor w:val="auto"/>
                <w:sz w:val="20"/>
                <w:szCs w:val="20"/>
              </w:rPr>
            </w:pPr>
            <w:r>
              <w:rPr>
                <w:rFonts w:ascii="仿宋" w:hAnsi="仿宋" w:eastAsia="仿宋"/>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单据类型编码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010803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单据类型名称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010804</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交易类型编码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交易类型名称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010806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单据编号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010807</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记账日期</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050502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客户编码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050503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客户名称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050701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051001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汇率类型编号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010523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010808</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原币发生金额</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010809</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本币发生金额</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010810</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摘要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010811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核销标志</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010812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010813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010814</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s="宋体"/>
                <w:color w:val="auto"/>
                <w:sz w:val="24"/>
                <w:szCs w:val="24"/>
              </w:rPr>
            </w:pPr>
            <w:r>
              <w:rPr>
                <w:rFonts w:hint="eastAsia" w:ascii="仿宋" w:hAnsi="仿宋" w:eastAsia="仿宋" w:cs="宋体"/>
                <w:color w:val="auto"/>
                <w:sz w:val="24"/>
                <w:szCs w:val="24"/>
              </w:rPr>
              <w:t>9</w:t>
            </w:r>
          </w:p>
        </w:tc>
        <w:tc>
          <w:tcPr>
            <w:tcW w:w="1060" w:type="dxa"/>
            <w:vMerge w:val="restart"/>
            <w:vAlign w:val="top"/>
          </w:tcPr>
          <w:p>
            <w:pPr>
              <w:rPr>
                <w:rFonts w:ascii="仿宋" w:hAnsi="仿宋" w:eastAsia="仿宋" w:cs="宋体"/>
                <w:color w:val="auto"/>
                <w:sz w:val="20"/>
                <w:szCs w:val="20"/>
              </w:rPr>
            </w:pPr>
            <w:r>
              <w:rPr>
                <w:rFonts w:hint="eastAsia" w:ascii="仿宋" w:hAnsi="仿宋" w:eastAsia="仿宋" w:cs="宋体"/>
                <w:color w:val="auto"/>
                <w:sz w:val="20"/>
                <w:szCs w:val="20"/>
              </w:rPr>
              <w:t>应付明细</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记账凭证日期</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050901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记账凭证类型编号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010502</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010901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应付交易明细</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050602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供应商编码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050603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供应商名称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050701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010902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原币发生金额</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010903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本币发生金额</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010904</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核销标志</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010905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010906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4"/>
                <w:szCs w:val="24"/>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010907</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0</w:t>
            </w:r>
          </w:p>
        </w:tc>
        <w:tc>
          <w:tcPr>
            <w:tcW w:w="106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固定资产卡片</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011003</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lang w:eastAsia="zh-CN"/>
              </w:rPr>
              <w:t>记账</w:t>
            </w:r>
            <w:r>
              <w:rPr>
                <w:rFonts w:hint="eastAsia" w:ascii="仿宋" w:hAnsi="仿宋" w:eastAsia="仿宋" w:cs="宋体"/>
                <w:color w:val="auto"/>
                <w:sz w:val="20"/>
                <w:szCs w:val="20"/>
              </w:rPr>
              <w:t>凭证</w:t>
            </w:r>
            <w:r>
              <w:rPr>
                <w:rFonts w:hint="eastAsia" w:ascii="仿宋" w:hAnsi="仿宋" w:eastAsia="仿宋" w:cs="宋体"/>
                <w:color w:val="auto"/>
                <w:sz w:val="20"/>
                <w:szCs w:val="20"/>
                <w:lang w:eastAsia="zh-CN"/>
              </w:rPr>
              <w:t>编</w:t>
            </w:r>
            <w:r>
              <w:rPr>
                <w:rFonts w:hint="eastAsia" w:ascii="仿宋" w:hAnsi="仿宋" w:eastAsia="仿宋" w:cs="宋体"/>
                <w:color w:val="auto"/>
                <w:sz w:val="20"/>
                <w:szCs w:val="20"/>
              </w:rPr>
              <w:t>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011004</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固定资产卡片明细</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固定资产卡片编号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固定资产类别编码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011007</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固定资产类别名称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011008</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011009</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011010</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固定资产入账日期</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011011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使用或者投产日期</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011012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固定资产计量单位</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011013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固定资产数量</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011014</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变动方式编码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011015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变动方式名称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011016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折旧方法编码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011017</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折旧方法名称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011018</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使用状况编码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011019</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使用状况名称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011020</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预计使用月份</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011021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已计提月份</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011022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固定资产原值</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011023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固定资产累计折旧</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011024</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固定资产净值</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011025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固定资产累计减值准备</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011026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固定资产净残值率</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011027</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固定资产净残值</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011028</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固定资产月折旧率</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011029</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固定资产月折旧额</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011030</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固定资产对账科目信息</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011031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累计折旧对账科目信息</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011032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减值准备对账科目信息</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1</w:t>
            </w:r>
          </w:p>
        </w:tc>
        <w:tc>
          <w:tcPr>
            <w:tcW w:w="106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固定资产实物信息档案</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011101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固定资产实物</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固定资产卡片编号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011102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固定资产标签号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011103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固定资产规格型号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2</w:t>
            </w:r>
          </w:p>
        </w:tc>
        <w:tc>
          <w:tcPr>
            <w:tcW w:w="106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固定资产使用信息档案</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011201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固定资产使用情况明细</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011202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固定资产卡片编号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011203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固定资产标签号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部门编码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部门名称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011204</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折旧分配比例</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3</w:t>
            </w:r>
          </w:p>
        </w:tc>
        <w:tc>
          <w:tcPr>
            <w:tcW w:w="106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固定资产减少情况</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011303</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011304</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固定资产减少情况</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固定资产减少流水号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011306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减少发生日期</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011307</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变动方式编码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011308</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变动方式名称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011309</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固定资产减少原因</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固定资产卡片编号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011008</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011009</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011310</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固定资产减少数量</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011311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固定资产减少原值</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011312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固定资产减少累计折旧</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011313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固定资产减少减值准备</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011314</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固定资产减少残值</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4</w:t>
            </w:r>
          </w:p>
        </w:tc>
        <w:tc>
          <w:tcPr>
            <w:tcW w:w="106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固定资产减少实物信息档案</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011401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011402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011403</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010502</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011404</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固定资产减少实物</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011405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固定资产减少流水号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固定资产卡片编号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011406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固定资产标签号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5</w:t>
            </w:r>
          </w:p>
        </w:tc>
        <w:tc>
          <w:tcPr>
            <w:tcW w:w="106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固定资产其他变动情况档案</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011501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固定资产其他变动情况</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011502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固定资产变动流水号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011503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固定资产变动日期</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固定资产卡片编号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011008</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011009</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011504</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变动方式编码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011505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变动方式名称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011506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固定资产变动原因</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011507</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变动前内容及数值</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011508</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变动后内容及数值</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6</w:t>
            </w:r>
          </w:p>
        </w:tc>
        <w:tc>
          <w:tcPr>
            <w:tcW w:w="106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固定资产其他变动实物信息档案</w:t>
            </w: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011601</w:t>
            </w:r>
          </w:p>
        </w:tc>
        <w:tc>
          <w:tcPr>
            <w:tcW w:w="2410" w:type="dxa"/>
            <w:vAlign w:val="top"/>
          </w:tcPr>
          <w:p>
            <w:pPr>
              <w:rPr>
                <w:rFonts w:ascii="仿宋" w:hAnsi="仿宋" w:eastAsia="仿宋" w:cs="宋体"/>
                <w:color w:val="auto"/>
                <w:sz w:val="20"/>
                <w:szCs w:val="20"/>
              </w:rPr>
            </w:pPr>
            <w:r>
              <w:rPr>
                <w:rFonts w:hint="eastAsia" w:ascii="仿宋" w:hAnsi="仿宋" w:eastAsia="仿宋" w:cs="宋体"/>
                <w:color w:val="auto"/>
                <w:sz w:val="20"/>
                <w:szCs w:val="20"/>
              </w:rPr>
              <w:t>固定资产其他变动实物</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011602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固定资产变动流水号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011005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固定资产卡片编号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011603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固定资产标签号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7</w:t>
            </w:r>
          </w:p>
        </w:tc>
        <w:tc>
          <w:tcPr>
            <w:tcW w:w="106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薪酬期间</w:t>
            </w: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011701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薪酬年度</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011702</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薪酬期间号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011703</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薪酬期间起始日期</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011704</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薪酬期间结束日期</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8</w:t>
            </w:r>
          </w:p>
        </w:tc>
        <w:tc>
          <w:tcPr>
            <w:tcW w:w="1060" w:type="dxa"/>
            <w:vMerge w:val="restart"/>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职工薪酬记录</w:t>
            </w: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011801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薪酬类别名称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050101</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010502</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011802</w:t>
            </w:r>
          </w:p>
        </w:tc>
        <w:tc>
          <w:tcPr>
            <w:tcW w:w="2410" w:type="dxa"/>
            <w:vAlign w:val="top"/>
          </w:tcPr>
          <w:p>
            <w:pPr>
              <w:ind w:firstLine="0" w:firstLineChars="0"/>
              <w:rPr>
                <w:rFonts w:ascii="仿宋" w:hAnsi="仿宋" w:eastAsia="仿宋" w:cs="宋体"/>
                <w:color w:val="auto"/>
                <w:sz w:val="20"/>
                <w:szCs w:val="20"/>
              </w:rPr>
            </w:pPr>
            <w:r>
              <w:rPr>
                <w:rFonts w:hint="eastAsia" w:ascii="仿宋" w:hAnsi="仿宋" w:eastAsia="仿宋" w:cs="宋体"/>
                <w:color w:val="auto"/>
                <w:sz w:val="20"/>
                <w:szCs w:val="20"/>
              </w:rPr>
              <w:t>薪酬明细</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011803</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职工编码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011804</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职工姓名</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011805</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职工类别</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部门编码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部门名称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科目编号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010202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科目名称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011701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薪酬年度</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011702</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薪酬期间号</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011806</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薪酬项目编码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011807</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薪酬项目名称</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olor w:val="auto"/>
                <w:sz w:val="20"/>
                <w:szCs w:val="20"/>
              </w:rPr>
            </w:pPr>
            <w:r>
              <w:rPr>
                <w:rFonts w:ascii="仿宋" w:hAnsi="仿宋" w:eastAsia="仿宋"/>
                <w:color w:val="auto"/>
                <w:sz w:val="20"/>
                <w:szCs w:val="20"/>
              </w:rPr>
              <w:t>050701</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00" w:type="dxa"/>
            <w:vMerge w:val="continue"/>
            <w:vAlign w:val="top"/>
          </w:tcPr>
          <w:p>
            <w:pPr>
              <w:rPr>
                <w:rFonts w:ascii="仿宋" w:hAnsi="仿宋" w:eastAsia="仿宋" w:cs="宋体"/>
                <w:color w:val="auto"/>
                <w:sz w:val="20"/>
                <w:szCs w:val="20"/>
              </w:rPr>
            </w:pPr>
          </w:p>
        </w:tc>
        <w:tc>
          <w:tcPr>
            <w:tcW w:w="1060" w:type="dxa"/>
            <w:vMerge w:val="continue"/>
            <w:vAlign w:val="top"/>
          </w:tcPr>
          <w:p>
            <w:pPr>
              <w:rPr>
                <w:rFonts w:ascii="仿宋" w:hAnsi="仿宋" w:eastAsia="仿宋" w:cs="宋体"/>
                <w:color w:val="auto"/>
                <w:sz w:val="20"/>
                <w:szCs w:val="20"/>
              </w:rPr>
            </w:pPr>
          </w:p>
        </w:tc>
        <w:tc>
          <w:tcPr>
            <w:tcW w:w="1100"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011808</w:t>
            </w:r>
          </w:p>
        </w:tc>
        <w:tc>
          <w:tcPr>
            <w:tcW w:w="2410" w:type="dxa"/>
            <w:vAlign w:val="top"/>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薪酬项目金额</w:t>
            </w:r>
          </w:p>
        </w:tc>
        <w:tc>
          <w:tcPr>
            <w:tcW w:w="708"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restart"/>
            <w:vAlign w:val="top"/>
          </w:tcPr>
          <w:p>
            <w:pPr>
              <w:rPr>
                <w:rFonts w:ascii="仿宋" w:hAnsi="仿宋" w:eastAsia="仿宋"/>
                <w:bCs/>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9</w:t>
            </w:r>
          </w:p>
        </w:tc>
        <w:tc>
          <w:tcPr>
            <w:tcW w:w="1060" w:type="dxa"/>
            <w:vMerge w:val="restart"/>
            <w:vAlign w:val="top"/>
          </w:tcPr>
          <w:p>
            <w:pPr>
              <w:rPr>
                <w:rFonts w:ascii="仿宋" w:hAnsi="仿宋" w:eastAsia="仿宋"/>
                <w:bCs/>
                <w:color w:val="auto"/>
                <w:sz w:val="20"/>
                <w:szCs w:val="20"/>
              </w:rPr>
            </w:pPr>
            <w:r>
              <w:rPr>
                <w:rFonts w:hint="eastAsia" w:ascii="仿宋" w:hAnsi="仿宋" w:eastAsia="仿宋"/>
                <w:bCs/>
                <w:color w:val="auto"/>
                <w:sz w:val="20"/>
                <w:szCs w:val="20"/>
              </w:rPr>
              <w:t>本年预算指标（行政事业单位）</w:t>
            </w: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011901</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会计年度</w:t>
            </w:r>
          </w:p>
        </w:tc>
        <w:tc>
          <w:tcPr>
            <w:tcW w:w="708"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cs="宋体"/>
                <w:color w:val="auto"/>
                <w:sz w:val="18"/>
                <w:szCs w:val="18"/>
              </w:rPr>
              <w:t>0</w:t>
            </w:r>
            <w:r>
              <w:rPr>
                <w:rFonts w:ascii="仿宋" w:hAnsi="仿宋" w:eastAsia="仿宋" w:cs="宋体"/>
                <w:color w:val="auto"/>
                <w:sz w:val="18"/>
                <w:szCs w:val="18"/>
              </w:rPr>
              <w:t>5</w:t>
            </w:r>
            <w:r>
              <w:rPr>
                <w:rFonts w:hint="eastAsia" w:ascii="仿宋" w:hAnsi="仿宋" w:eastAsia="仿宋" w:cs="宋体"/>
                <w:color w:val="auto"/>
                <w:sz w:val="18"/>
                <w:szCs w:val="18"/>
              </w:rPr>
              <w:t>0101</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会计期间号</w:t>
            </w:r>
          </w:p>
        </w:tc>
        <w:tc>
          <w:tcPr>
            <w:tcW w:w="708"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011902</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支出功能分类代码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011903</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支持功能分类名称</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011904</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支持经济分类代码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011905</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项目编码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011906</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资金性质代码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011907</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资金性质名称</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011908</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预算来源代码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011909</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预算来源名称</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011910</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本年预算金额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011911</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累计调增金额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011912</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累计调减金额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011913</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合计</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restart"/>
            <w:vAlign w:val="top"/>
          </w:tcPr>
          <w:p>
            <w:pPr>
              <w:rPr>
                <w:rFonts w:ascii="仿宋" w:hAnsi="仿宋" w:eastAsia="仿宋"/>
                <w:bCs/>
                <w:color w:val="auto"/>
                <w:sz w:val="20"/>
                <w:szCs w:val="20"/>
              </w:rPr>
            </w:pPr>
            <w:r>
              <w:rPr>
                <w:rFonts w:hint="eastAsia" w:ascii="仿宋" w:hAnsi="仿宋" w:eastAsia="仿宋"/>
                <w:bCs/>
                <w:color w:val="auto"/>
                <w:sz w:val="20"/>
                <w:szCs w:val="20"/>
              </w:rPr>
              <w:t>2</w:t>
            </w:r>
            <w:r>
              <w:rPr>
                <w:rFonts w:ascii="仿宋" w:hAnsi="仿宋" w:eastAsia="仿宋"/>
                <w:bCs/>
                <w:color w:val="auto"/>
                <w:sz w:val="20"/>
                <w:szCs w:val="20"/>
              </w:rPr>
              <w:t>0</w:t>
            </w:r>
          </w:p>
        </w:tc>
        <w:tc>
          <w:tcPr>
            <w:tcW w:w="1060" w:type="dxa"/>
            <w:vMerge w:val="restart"/>
            <w:vAlign w:val="top"/>
          </w:tcPr>
          <w:p>
            <w:pPr>
              <w:rPr>
                <w:rFonts w:ascii="仿宋" w:hAnsi="仿宋" w:eastAsia="仿宋"/>
                <w:bCs/>
                <w:color w:val="auto"/>
                <w:sz w:val="20"/>
                <w:szCs w:val="20"/>
              </w:rPr>
            </w:pPr>
            <w:r>
              <w:rPr>
                <w:rFonts w:hint="eastAsia" w:ascii="仿宋" w:hAnsi="仿宋" w:eastAsia="仿宋"/>
                <w:bCs/>
                <w:color w:val="auto"/>
                <w:sz w:val="20"/>
                <w:szCs w:val="20"/>
              </w:rPr>
              <w:t>预算支出情况表（行政事业单位）</w:t>
            </w: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011901</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会计年度</w:t>
            </w:r>
          </w:p>
        </w:tc>
        <w:tc>
          <w:tcPr>
            <w:tcW w:w="708"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cs="宋体"/>
                <w:color w:val="auto"/>
                <w:sz w:val="18"/>
                <w:szCs w:val="18"/>
              </w:rPr>
              <w:t>0</w:t>
            </w:r>
            <w:r>
              <w:rPr>
                <w:rFonts w:ascii="仿宋" w:hAnsi="仿宋" w:eastAsia="仿宋" w:cs="宋体"/>
                <w:color w:val="auto"/>
                <w:sz w:val="18"/>
                <w:szCs w:val="18"/>
              </w:rPr>
              <w:t>5</w:t>
            </w:r>
            <w:r>
              <w:rPr>
                <w:rFonts w:hint="eastAsia" w:ascii="仿宋" w:hAnsi="仿宋" w:eastAsia="仿宋" w:cs="宋体"/>
                <w:color w:val="auto"/>
                <w:sz w:val="18"/>
                <w:szCs w:val="18"/>
              </w:rPr>
              <w:t>0101</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会计期间号</w:t>
            </w:r>
          </w:p>
        </w:tc>
        <w:tc>
          <w:tcPr>
            <w:tcW w:w="708"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011902</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支出功能分类代码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011903</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支持功能分类名称</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011904</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支持经济分类代码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011905</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项目编码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011906</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资金性质代码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011907</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资金性质名称</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011908</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预算来源代码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011909</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预算来源名称</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012001</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支付方式代码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012002</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支付方式名称</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012003</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上年结余金额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011910</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本年预算金额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012004</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本期调增金额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012005</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本期调减金额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011911</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累计调增金额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011912</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累计调减金额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012006</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本期支持金额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012007</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累计支持金额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012008</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本年预算结余金额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restart"/>
            <w:vAlign w:val="top"/>
          </w:tcPr>
          <w:p>
            <w:pPr>
              <w:rPr>
                <w:rFonts w:ascii="仿宋" w:hAnsi="仿宋" w:eastAsia="仿宋"/>
                <w:bCs/>
                <w:color w:val="auto"/>
                <w:sz w:val="20"/>
                <w:szCs w:val="20"/>
              </w:rPr>
            </w:pPr>
            <w:r>
              <w:rPr>
                <w:rFonts w:hint="eastAsia" w:ascii="仿宋" w:hAnsi="仿宋" w:eastAsia="仿宋"/>
                <w:bCs/>
                <w:color w:val="auto"/>
                <w:sz w:val="20"/>
                <w:szCs w:val="20"/>
              </w:rPr>
              <w:t>2</w:t>
            </w:r>
            <w:r>
              <w:rPr>
                <w:rFonts w:ascii="仿宋" w:hAnsi="仿宋" w:eastAsia="仿宋"/>
                <w:bCs/>
                <w:color w:val="auto"/>
                <w:sz w:val="20"/>
                <w:szCs w:val="20"/>
              </w:rPr>
              <w:t>1</w:t>
            </w:r>
          </w:p>
        </w:tc>
        <w:tc>
          <w:tcPr>
            <w:tcW w:w="1060" w:type="dxa"/>
            <w:vMerge w:val="restart"/>
            <w:vAlign w:val="top"/>
          </w:tcPr>
          <w:p>
            <w:pPr>
              <w:rPr>
                <w:rFonts w:ascii="仿宋" w:hAnsi="仿宋" w:eastAsia="仿宋"/>
                <w:bCs/>
                <w:color w:val="auto"/>
                <w:sz w:val="20"/>
                <w:szCs w:val="20"/>
              </w:rPr>
            </w:pPr>
            <w:r>
              <w:rPr>
                <w:rFonts w:hint="eastAsia" w:ascii="仿宋" w:hAnsi="仿宋" w:eastAsia="仿宋"/>
                <w:bCs/>
                <w:color w:val="auto"/>
                <w:sz w:val="20"/>
                <w:szCs w:val="20"/>
              </w:rPr>
              <w:t>预算收入情况表（行政事业单位）</w:t>
            </w: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011901</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会计年度</w:t>
            </w:r>
          </w:p>
        </w:tc>
        <w:tc>
          <w:tcPr>
            <w:tcW w:w="708"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cs="宋体"/>
                <w:color w:val="auto"/>
                <w:sz w:val="18"/>
                <w:szCs w:val="18"/>
              </w:rPr>
              <w:t>0</w:t>
            </w:r>
            <w:r>
              <w:rPr>
                <w:rFonts w:ascii="仿宋" w:hAnsi="仿宋" w:eastAsia="仿宋" w:cs="宋体"/>
                <w:color w:val="auto"/>
                <w:sz w:val="18"/>
                <w:szCs w:val="18"/>
              </w:rPr>
              <w:t>5</w:t>
            </w:r>
            <w:r>
              <w:rPr>
                <w:rFonts w:hint="eastAsia" w:ascii="仿宋" w:hAnsi="仿宋" w:eastAsia="仿宋" w:cs="宋体"/>
                <w:color w:val="auto"/>
                <w:sz w:val="18"/>
                <w:szCs w:val="18"/>
              </w:rPr>
              <w:t>0101</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会计期间号</w:t>
            </w:r>
          </w:p>
        </w:tc>
        <w:tc>
          <w:tcPr>
            <w:tcW w:w="708"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012101</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收入分类代码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012102</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收入分类名称</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012103</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收入项目代码</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012104</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收入项目名称</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011910</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本年预算金额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012004</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本期调增金额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012005</w:t>
            </w:r>
          </w:p>
        </w:tc>
        <w:tc>
          <w:tcPr>
            <w:tcW w:w="2410" w:type="dxa"/>
            <w:vAlign w:val="top"/>
          </w:tcPr>
          <w:p>
            <w:pPr>
              <w:jc w:val="both"/>
              <w:rPr>
                <w:rFonts w:ascii="仿宋" w:hAnsi="仿宋" w:eastAsia="仿宋"/>
                <w:bCs/>
                <w:color w:val="auto"/>
                <w:sz w:val="20"/>
                <w:szCs w:val="20"/>
              </w:rPr>
            </w:pPr>
            <w:r>
              <w:rPr>
                <w:rFonts w:hint="eastAsia" w:ascii="仿宋" w:hAnsi="仿宋" w:eastAsia="仿宋"/>
                <w:bCs/>
                <w:color w:val="auto"/>
                <w:sz w:val="20"/>
                <w:szCs w:val="20"/>
              </w:rPr>
              <w:t>本期调减金额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011911</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累计调增金额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011912</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累计调减金额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hint="eastAsia" w:ascii="仿宋" w:hAnsi="仿宋" w:eastAsia="仿宋"/>
                <w:bCs/>
                <w:color w:val="auto"/>
                <w:sz w:val="20"/>
                <w:szCs w:val="20"/>
              </w:rPr>
            </w:pPr>
            <w:r>
              <w:rPr>
                <w:rFonts w:hint="eastAsia" w:ascii="仿宋" w:hAnsi="仿宋" w:eastAsia="仿宋"/>
                <w:bCs/>
                <w:color w:val="auto"/>
                <w:sz w:val="20"/>
                <w:szCs w:val="20"/>
              </w:rPr>
              <w:t>012105</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本期收入金额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vAlign w:val="top"/>
          </w:tcPr>
          <w:p>
            <w:pPr>
              <w:rPr>
                <w:rFonts w:ascii="仿宋" w:hAnsi="仿宋" w:eastAsia="仿宋"/>
                <w:bCs/>
                <w:color w:val="auto"/>
                <w:sz w:val="20"/>
                <w:szCs w:val="20"/>
              </w:rPr>
            </w:pPr>
          </w:p>
        </w:tc>
        <w:tc>
          <w:tcPr>
            <w:tcW w:w="1060" w:type="dxa"/>
            <w:vMerge w:val="continue"/>
            <w:vAlign w:val="top"/>
          </w:tcPr>
          <w:p>
            <w:pPr>
              <w:rPr>
                <w:rFonts w:ascii="仿宋" w:hAnsi="仿宋" w:eastAsia="仿宋"/>
                <w:bCs/>
                <w:color w:val="auto"/>
                <w:sz w:val="20"/>
                <w:szCs w:val="20"/>
              </w:rPr>
            </w:pPr>
          </w:p>
        </w:tc>
        <w:tc>
          <w:tcPr>
            <w:tcW w:w="1100" w:type="dxa"/>
            <w:vAlign w:val="top"/>
          </w:tcPr>
          <w:p>
            <w:pPr>
              <w:jc w:val="center"/>
              <w:rPr>
                <w:rFonts w:ascii="仿宋" w:hAnsi="仿宋" w:eastAsia="仿宋"/>
                <w:bCs/>
                <w:color w:val="auto"/>
                <w:sz w:val="20"/>
                <w:szCs w:val="20"/>
              </w:rPr>
            </w:pPr>
            <w:r>
              <w:rPr>
                <w:rFonts w:hint="eastAsia" w:ascii="仿宋" w:hAnsi="仿宋" w:eastAsia="仿宋"/>
                <w:bCs/>
                <w:color w:val="auto"/>
                <w:sz w:val="20"/>
                <w:szCs w:val="20"/>
              </w:rPr>
              <w:t>012106</w:t>
            </w:r>
          </w:p>
        </w:tc>
        <w:tc>
          <w:tcPr>
            <w:tcW w:w="2410" w:type="dxa"/>
            <w:vAlign w:val="top"/>
          </w:tcPr>
          <w:p>
            <w:pPr>
              <w:jc w:val="both"/>
              <w:rPr>
                <w:rFonts w:hint="eastAsia" w:ascii="仿宋" w:hAnsi="仿宋" w:eastAsia="仿宋"/>
                <w:bCs/>
                <w:color w:val="auto"/>
                <w:sz w:val="20"/>
                <w:szCs w:val="20"/>
              </w:rPr>
            </w:pPr>
            <w:r>
              <w:rPr>
                <w:rFonts w:hint="eastAsia" w:ascii="仿宋" w:hAnsi="仿宋" w:eastAsia="仿宋"/>
                <w:bCs/>
                <w:color w:val="auto"/>
                <w:sz w:val="20"/>
                <w:szCs w:val="20"/>
              </w:rPr>
              <w:t>累计收入金额</w:t>
            </w:r>
          </w:p>
        </w:tc>
        <w:tc>
          <w:tcPr>
            <w:tcW w:w="708" w:type="dxa"/>
            <w:vAlign w:val="top"/>
          </w:tcPr>
          <w:p>
            <w:pPr>
              <w:jc w:val="center"/>
              <w:rPr>
                <w:rFonts w:ascii="仿宋" w:hAnsi="仿宋" w:eastAsia="仿宋"/>
                <w:bCs/>
                <w:color w:val="auto"/>
                <w:sz w:val="20"/>
                <w:szCs w:val="20"/>
              </w:rPr>
            </w:pPr>
            <w:r>
              <w:rPr>
                <w:rFonts w:ascii="仿宋" w:hAnsi="仿宋" w:eastAsia="仿宋"/>
                <w:bCs/>
                <w:color w:val="auto"/>
                <w:sz w:val="20"/>
                <w:szCs w:val="20"/>
              </w:rPr>
              <w:t>2</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vAlign w:val="top"/>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bl>
    <w:p>
      <w:pPr>
        <w:keepNext/>
        <w:keepLines/>
        <w:numPr>
          <w:ilvl w:val="0"/>
          <w:numId w:val="0"/>
        </w:numPr>
        <w:spacing w:before="260" w:after="260" w:line="415" w:lineRule="auto"/>
        <w:ind w:leftChars="0"/>
        <w:outlineLvl w:val="2"/>
        <w:rPr>
          <w:rFonts w:hint="default" w:ascii="等线" w:hAnsi="等线" w:eastAsia="宋体"/>
          <w:b/>
          <w:bCs/>
          <w:szCs w:val="32"/>
          <w:lang w:val="en"/>
        </w:rPr>
      </w:pPr>
      <w:r>
        <w:rPr>
          <w:rFonts w:hint="eastAsia" w:ascii="等线" w:hAnsi="等线" w:eastAsia="宋体"/>
          <w:b/>
          <w:bCs/>
          <w:szCs w:val="32"/>
          <w:lang w:val="en-US" w:eastAsia="zh-CN"/>
        </w:rPr>
        <w:t>A.</w:t>
      </w:r>
      <w:r>
        <w:rPr>
          <w:rFonts w:hint="default" w:ascii="等线" w:hAnsi="等线" w:eastAsia="宋体"/>
          <w:b/>
          <w:bCs/>
          <w:szCs w:val="32"/>
          <w:lang w:val="en"/>
        </w:rPr>
        <w:t>1.2</w:t>
      </w:r>
      <w:r>
        <w:rPr>
          <w:rFonts w:hint="eastAsia" w:ascii="等线" w:hAnsi="等线" w:eastAsia="宋体"/>
          <w:b/>
          <w:bCs/>
          <w:szCs w:val="32"/>
          <w:lang w:val="en"/>
        </w:rPr>
        <w:t>资金模块</w:t>
      </w:r>
    </w:p>
    <w:p>
      <w:pPr>
        <w:pStyle w:val="5"/>
        <w:rPr>
          <w:color w:val="auto"/>
        </w:rPr>
      </w:pPr>
      <w:bookmarkStart w:id="258" w:name="_Toc531204717"/>
      <w:r>
        <w:rPr>
          <w:rFonts w:hint="eastAsia"/>
          <w:color w:val="auto"/>
          <w:lang w:val="en-US" w:eastAsia="zh-CN"/>
        </w:rPr>
        <w:t>A.</w:t>
      </w:r>
      <w:r>
        <w:rPr>
          <w:color w:val="auto"/>
        </w:rPr>
        <w:t>1.2.1</w:t>
      </w:r>
      <w:r>
        <w:rPr>
          <w:rFonts w:hint="eastAsia"/>
          <w:color w:val="auto"/>
        </w:rPr>
        <w:t>元素清单范围</w:t>
      </w:r>
      <w:bookmarkEnd w:id="258"/>
    </w:p>
    <w:p>
      <w:pPr>
        <w:ind w:firstLine="560" w:firstLineChars="200"/>
        <w:rPr>
          <w:rFonts w:ascii="仿宋" w:hAnsi="仿宋" w:eastAsia="仿宋"/>
          <w:color w:val="auto"/>
          <w:sz w:val="28"/>
          <w:szCs w:val="28"/>
        </w:rPr>
      </w:pPr>
      <w:r>
        <w:rPr>
          <w:rFonts w:ascii="仿宋" w:hAnsi="仿宋" w:eastAsia="仿宋"/>
          <w:color w:val="auto"/>
          <w:sz w:val="28"/>
          <w:szCs w:val="28"/>
        </w:rPr>
        <w:t>1银行存款日余额表</w:t>
      </w:r>
      <w:r>
        <w:rPr>
          <w:rFonts w:hint="eastAsia" w:ascii="仿宋" w:hAnsi="仿宋" w:eastAsia="仿宋"/>
          <w:color w:val="auto"/>
          <w:sz w:val="28"/>
          <w:szCs w:val="28"/>
        </w:rPr>
        <w:t>、</w:t>
      </w:r>
      <w:r>
        <w:rPr>
          <w:rFonts w:ascii="仿宋" w:hAnsi="仿宋" w:eastAsia="仿宋"/>
          <w:color w:val="auto"/>
          <w:sz w:val="28"/>
          <w:szCs w:val="28"/>
        </w:rPr>
        <w:t>2现金日余额表</w:t>
      </w:r>
      <w:r>
        <w:rPr>
          <w:rFonts w:hint="eastAsia" w:ascii="仿宋" w:hAnsi="仿宋" w:eastAsia="仿宋"/>
          <w:color w:val="auto"/>
          <w:sz w:val="28"/>
          <w:szCs w:val="28"/>
        </w:rPr>
        <w:t>、</w:t>
      </w:r>
      <w:r>
        <w:rPr>
          <w:rFonts w:ascii="仿宋" w:hAnsi="仿宋" w:eastAsia="仿宋"/>
          <w:color w:val="auto"/>
          <w:sz w:val="28"/>
          <w:szCs w:val="28"/>
        </w:rPr>
        <w:t>3银行对账单</w:t>
      </w:r>
      <w:r>
        <w:rPr>
          <w:rFonts w:hint="eastAsia" w:ascii="仿宋" w:hAnsi="仿宋" w:eastAsia="仿宋"/>
          <w:color w:val="auto"/>
          <w:sz w:val="28"/>
          <w:szCs w:val="28"/>
        </w:rPr>
        <w:t>、</w:t>
      </w:r>
      <w:r>
        <w:rPr>
          <w:rFonts w:ascii="仿宋" w:hAnsi="仿宋" w:eastAsia="仿宋"/>
          <w:color w:val="auto"/>
          <w:sz w:val="28"/>
          <w:szCs w:val="28"/>
        </w:rPr>
        <w:t>4银行存款余额调节表</w:t>
      </w:r>
      <w:r>
        <w:rPr>
          <w:rFonts w:hint="eastAsia" w:ascii="仿宋" w:hAnsi="仿宋" w:eastAsia="仿宋"/>
          <w:color w:val="auto"/>
          <w:sz w:val="28"/>
          <w:szCs w:val="28"/>
        </w:rPr>
        <w:t>、</w:t>
      </w:r>
      <w:r>
        <w:rPr>
          <w:rFonts w:ascii="仿宋" w:hAnsi="仿宋" w:eastAsia="仿宋"/>
          <w:color w:val="auto"/>
          <w:sz w:val="28"/>
          <w:szCs w:val="28"/>
        </w:rPr>
        <w:t>5银行存款余额调节表未达账项明细</w:t>
      </w:r>
      <w:r>
        <w:rPr>
          <w:rFonts w:hint="eastAsia" w:ascii="仿宋" w:hAnsi="仿宋" w:eastAsia="仿宋"/>
          <w:color w:val="auto"/>
          <w:sz w:val="28"/>
          <w:szCs w:val="28"/>
        </w:rPr>
        <w:t>、</w:t>
      </w:r>
      <w:r>
        <w:rPr>
          <w:rFonts w:ascii="仿宋" w:hAnsi="仿宋" w:eastAsia="仿宋"/>
          <w:color w:val="auto"/>
          <w:sz w:val="28"/>
          <w:szCs w:val="28"/>
        </w:rPr>
        <w:t>6应收票据备查簿</w:t>
      </w:r>
      <w:r>
        <w:rPr>
          <w:rFonts w:hint="eastAsia" w:ascii="仿宋" w:hAnsi="仿宋" w:eastAsia="仿宋"/>
          <w:color w:val="auto"/>
          <w:sz w:val="28"/>
          <w:szCs w:val="28"/>
        </w:rPr>
        <w:t>、</w:t>
      </w:r>
      <w:r>
        <w:rPr>
          <w:rFonts w:ascii="仿宋" w:hAnsi="仿宋" w:eastAsia="仿宋"/>
          <w:color w:val="auto"/>
          <w:sz w:val="28"/>
          <w:szCs w:val="28"/>
        </w:rPr>
        <w:t>7应付票据备查簿</w:t>
      </w:r>
      <w:r>
        <w:rPr>
          <w:rFonts w:hint="eastAsia" w:ascii="仿宋" w:hAnsi="仿宋" w:eastAsia="仿宋"/>
          <w:color w:val="auto"/>
          <w:sz w:val="28"/>
          <w:szCs w:val="28"/>
        </w:rPr>
        <w:t>、</w:t>
      </w:r>
      <w:r>
        <w:rPr>
          <w:rFonts w:ascii="仿宋" w:hAnsi="仿宋" w:eastAsia="仿宋"/>
          <w:color w:val="auto"/>
          <w:sz w:val="28"/>
          <w:szCs w:val="28"/>
        </w:rPr>
        <w:t>8银行借款合同</w:t>
      </w:r>
      <w:r>
        <w:rPr>
          <w:rFonts w:hint="eastAsia" w:ascii="仿宋" w:hAnsi="仿宋" w:eastAsia="仿宋"/>
          <w:color w:val="auto"/>
          <w:sz w:val="28"/>
          <w:szCs w:val="28"/>
        </w:rPr>
        <w:t>、</w:t>
      </w:r>
      <w:r>
        <w:rPr>
          <w:rFonts w:ascii="仿宋" w:hAnsi="仿宋" w:eastAsia="仿宋"/>
          <w:color w:val="auto"/>
          <w:sz w:val="28"/>
          <w:szCs w:val="28"/>
        </w:rPr>
        <w:t>9银行借款放款明细</w:t>
      </w:r>
      <w:r>
        <w:rPr>
          <w:rFonts w:hint="eastAsia" w:ascii="仿宋" w:hAnsi="仿宋" w:eastAsia="仿宋"/>
          <w:color w:val="auto"/>
          <w:sz w:val="28"/>
          <w:szCs w:val="28"/>
        </w:rPr>
        <w:t>、</w:t>
      </w:r>
      <w:r>
        <w:rPr>
          <w:rFonts w:ascii="仿宋" w:hAnsi="仿宋" w:eastAsia="仿宋"/>
          <w:color w:val="auto"/>
          <w:sz w:val="28"/>
          <w:szCs w:val="28"/>
        </w:rPr>
        <w:t>10银行借款还款明细</w:t>
      </w:r>
      <w:r>
        <w:rPr>
          <w:rFonts w:hint="eastAsia" w:ascii="仿宋" w:hAnsi="仿宋" w:eastAsia="仿宋"/>
          <w:color w:val="auto"/>
          <w:sz w:val="28"/>
          <w:szCs w:val="28"/>
        </w:rPr>
        <w:t>、</w:t>
      </w:r>
      <w:r>
        <w:rPr>
          <w:rFonts w:ascii="仿宋" w:hAnsi="仿宋" w:eastAsia="仿宋"/>
          <w:color w:val="auto"/>
          <w:sz w:val="28"/>
          <w:szCs w:val="28"/>
        </w:rPr>
        <w:t>11委托贷款合同</w:t>
      </w:r>
      <w:r>
        <w:rPr>
          <w:rFonts w:hint="eastAsia" w:ascii="仿宋" w:hAnsi="仿宋" w:eastAsia="仿宋"/>
          <w:color w:val="auto"/>
          <w:sz w:val="28"/>
          <w:szCs w:val="28"/>
        </w:rPr>
        <w:t>、</w:t>
      </w:r>
      <w:r>
        <w:rPr>
          <w:rFonts w:ascii="仿宋" w:hAnsi="仿宋" w:eastAsia="仿宋"/>
          <w:color w:val="auto"/>
          <w:sz w:val="28"/>
          <w:szCs w:val="28"/>
        </w:rPr>
        <w:t>12委托贷款放款明细</w:t>
      </w:r>
      <w:r>
        <w:rPr>
          <w:rFonts w:hint="eastAsia" w:ascii="仿宋" w:hAnsi="仿宋" w:eastAsia="仿宋"/>
          <w:color w:val="auto"/>
          <w:sz w:val="28"/>
          <w:szCs w:val="28"/>
        </w:rPr>
        <w:t>、</w:t>
      </w:r>
      <w:r>
        <w:rPr>
          <w:rFonts w:ascii="仿宋" w:hAnsi="仿宋" w:eastAsia="仿宋"/>
          <w:color w:val="auto"/>
          <w:sz w:val="28"/>
          <w:szCs w:val="28"/>
        </w:rPr>
        <w:t>13委托贷款还款明细</w:t>
      </w:r>
      <w:r>
        <w:rPr>
          <w:rFonts w:hint="eastAsia" w:ascii="仿宋" w:hAnsi="仿宋" w:eastAsia="仿宋"/>
          <w:color w:val="auto"/>
          <w:sz w:val="28"/>
          <w:szCs w:val="28"/>
        </w:rPr>
        <w:t>、</w:t>
      </w:r>
      <w:r>
        <w:rPr>
          <w:rFonts w:ascii="仿宋" w:hAnsi="仿宋" w:eastAsia="仿宋"/>
          <w:color w:val="auto"/>
          <w:sz w:val="28"/>
          <w:szCs w:val="28"/>
        </w:rPr>
        <w:t>14对外担保备查簿</w:t>
      </w:r>
      <w:r>
        <w:rPr>
          <w:rFonts w:hint="eastAsia" w:ascii="仿宋" w:hAnsi="仿宋" w:eastAsia="仿宋"/>
          <w:color w:val="auto"/>
          <w:sz w:val="28"/>
          <w:szCs w:val="28"/>
        </w:rPr>
        <w:t>、</w:t>
      </w:r>
      <w:r>
        <w:rPr>
          <w:rFonts w:ascii="仿宋" w:hAnsi="仿宋" w:eastAsia="仿宋"/>
          <w:color w:val="auto"/>
          <w:sz w:val="28"/>
          <w:szCs w:val="28"/>
        </w:rPr>
        <w:t>15付款单</w:t>
      </w:r>
      <w:r>
        <w:rPr>
          <w:rFonts w:hint="eastAsia" w:ascii="仿宋" w:hAnsi="仿宋" w:eastAsia="仿宋"/>
          <w:color w:val="auto"/>
          <w:sz w:val="28"/>
          <w:szCs w:val="28"/>
        </w:rPr>
        <w:t>、</w:t>
      </w:r>
      <w:r>
        <w:rPr>
          <w:rFonts w:ascii="仿宋" w:hAnsi="仿宋" w:eastAsia="仿宋"/>
          <w:color w:val="auto"/>
          <w:sz w:val="28"/>
          <w:szCs w:val="28"/>
        </w:rPr>
        <w:t>16收款单</w:t>
      </w:r>
      <w:r>
        <w:rPr>
          <w:rFonts w:hint="eastAsia" w:ascii="仿宋" w:hAnsi="仿宋" w:eastAsia="仿宋"/>
          <w:color w:val="auto"/>
          <w:sz w:val="28"/>
          <w:szCs w:val="28"/>
        </w:rPr>
        <w:t>、</w:t>
      </w:r>
      <w:r>
        <w:rPr>
          <w:rFonts w:ascii="仿宋" w:hAnsi="仿宋" w:eastAsia="仿宋"/>
          <w:color w:val="auto"/>
          <w:sz w:val="28"/>
          <w:szCs w:val="28"/>
        </w:rPr>
        <w:t>17转账单</w:t>
      </w:r>
    </w:p>
    <w:p>
      <w:pPr>
        <w:pStyle w:val="5"/>
        <w:rPr>
          <w:color w:val="auto"/>
        </w:rPr>
      </w:pPr>
      <w:r>
        <w:rPr>
          <w:rFonts w:hint="eastAsia"/>
          <w:color w:val="auto"/>
          <w:lang w:val="en-US" w:eastAsia="zh-CN"/>
        </w:rPr>
        <w:t>A.</w:t>
      </w:r>
      <w:r>
        <w:rPr>
          <w:color w:val="auto"/>
        </w:rPr>
        <w:t>1.2.2</w:t>
      </w:r>
      <w:bookmarkStart w:id="259" w:name="_Toc531204721"/>
      <w:r>
        <w:rPr>
          <w:rFonts w:hint="eastAsia"/>
          <w:color w:val="auto"/>
        </w:rPr>
        <w:t>元素清单及属性</w:t>
      </w:r>
      <w:bookmarkEnd w:id="259"/>
    </w:p>
    <w:tbl>
      <w:tblPr>
        <w:tblStyle w:val="24"/>
        <w:tblW w:w="8188" w:type="dxa"/>
        <w:tblInd w:w="0" w:type="dxa"/>
        <w:tblLayout w:type="fixed"/>
        <w:tblCellMar>
          <w:top w:w="0" w:type="dxa"/>
          <w:left w:w="108" w:type="dxa"/>
          <w:bottom w:w="0" w:type="dxa"/>
          <w:right w:w="108" w:type="dxa"/>
        </w:tblCellMar>
      </w:tblPr>
      <w:tblGrid>
        <w:gridCol w:w="617"/>
        <w:gridCol w:w="1041"/>
        <w:gridCol w:w="1522"/>
        <w:gridCol w:w="1945"/>
        <w:gridCol w:w="975"/>
        <w:gridCol w:w="975"/>
        <w:gridCol w:w="1113"/>
      </w:tblGrid>
      <w:tr>
        <w:tblPrEx>
          <w:tblCellMar>
            <w:top w:w="0" w:type="dxa"/>
            <w:left w:w="108" w:type="dxa"/>
            <w:bottom w:w="0" w:type="dxa"/>
            <w:right w:w="108" w:type="dxa"/>
          </w:tblCellMar>
        </w:tblPrEx>
        <w:trPr>
          <w:trHeight w:val="620" w:hRule="atLeast"/>
        </w:trPr>
        <w:tc>
          <w:tcPr>
            <w:tcW w:w="61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b/>
                <w:bCs/>
                <w:color w:val="auto"/>
                <w:sz w:val="20"/>
                <w:szCs w:val="20"/>
              </w:rPr>
            </w:pPr>
            <w:r>
              <w:rPr>
                <w:rFonts w:hint="eastAsia" w:ascii="仿宋" w:hAnsi="仿宋" w:eastAsia="仿宋" w:cs="宋体"/>
                <w:b/>
                <w:bCs/>
                <w:color w:val="auto"/>
                <w:sz w:val="20"/>
                <w:szCs w:val="20"/>
              </w:rPr>
              <w:t>编号</w:t>
            </w:r>
          </w:p>
        </w:tc>
        <w:tc>
          <w:tcPr>
            <w:tcW w:w="1041"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b/>
                <w:bCs/>
                <w:color w:val="auto"/>
                <w:sz w:val="20"/>
                <w:szCs w:val="20"/>
              </w:rPr>
            </w:pPr>
            <w:r>
              <w:rPr>
                <w:rFonts w:hint="eastAsia" w:ascii="仿宋" w:hAnsi="仿宋" w:eastAsia="仿宋" w:cs="宋体"/>
                <w:b/>
                <w:bCs/>
                <w:color w:val="auto"/>
                <w:sz w:val="20"/>
                <w:szCs w:val="20"/>
              </w:rPr>
              <w:t>子模块名</w:t>
            </w:r>
          </w:p>
        </w:tc>
        <w:tc>
          <w:tcPr>
            <w:tcW w:w="1522"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b/>
                <w:bCs/>
                <w:color w:val="auto"/>
                <w:sz w:val="20"/>
                <w:szCs w:val="20"/>
              </w:rPr>
            </w:pPr>
            <w:r>
              <w:rPr>
                <w:rFonts w:hint="eastAsia" w:ascii="仿宋" w:hAnsi="仿宋" w:eastAsia="仿宋" w:cs="宋体"/>
                <w:b/>
                <w:bCs/>
                <w:color w:val="auto"/>
                <w:sz w:val="20"/>
                <w:szCs w:val="20"/>
              </w:rPr>
              <w:t>元素标识符</w:t>
            </w:r>
          </w:p>
        </w:tc>
        <w:tc>
          <w:tcPr>
            <w:tcW w:w="1945"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b/>
                <w:bCs/>
                <w:color w:val="auto"/>
                <w:sz w:val="20"/>
                <w:szCs w:val="20"/>
              </w:rPr>
            </w:pPr>
            <w:r>
              <w:rPr>
                <w:rFonts w:hint="eastAsia" w:ascii="仿宋" w:hAnsi="仿宋" w:eastAsia="仿宋" w:cs="宋体"/>
                <w:b/>
                <w:bCs/>
                <w:color w:val="auto"/>
                <w:sz w:val="20"/>
                <w:szCs w:val="20"/>
              </w:rPr>
              <w:t>元素名称</w:t>
            </w:r>
          </w:p>
        </w:tc>
        <w:tc>
          <w:tcPr>
            <w:tcW w:w="975"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b/>
                <w:bCs/>
                <w:color w:val="auto"/>
                <w:sz w:val="20"/>
                <w:szCs w:val="20"/>
              </w:rPr>
            </w:pPr>
            <w:r>
              <w:rPr>
                <w:rFonts w:hint="eastAsia" w:ascii="仿宋" w:hAnsi="仿宋" w:eastAsia="仿宋" w:cs="宋体"/>
                <w:b/>
                <w:bCs/>
                <w:color w:val="auto"/>
                <w:sz w:val="20"/>
                <w:szCs w:val="20"/>
              </w:rPr>
              <w:t>级别</w:t>
            </w:r>
          </w:p>
        </w:tc>
        <w:tc>
          <w:tcPr>
            <w:tcW w:w="975"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b/>
                <w:bCs/>
                <w:color w:val="auto"/>
                <w:sz w:val="20"/>
                <w:szCs w:val="20"/>
              </w:rPr>
            </w:pPr>
            <w:r>
              <w:rPr>
                <w:rFonts w:hint="eastAsia" w:ascii="仿宋" w:hAnsi="仿宋" w:eastAsia="仿宋" w:cs="宋体"/>
                <w:b/>
                <w:bCs/>
                <w:color w:val="auto"/>
                <w:sz w:val="20"/>
                <w:szCs w:val="20"/>
              </w:rPr>
              <w:t>是否虚元素</w:t>
            </w:r>
          </w:p>
        </w:tc>
        <w:tc>
          <w:tcPr>
            <w:tcW w:w="1113"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b/>
                <w:bCs/>
                <w:color w:val="auto"/>
                <w:sz w:val="20"/>
                <w:szCs w:val="20"/>
              </w:rPr>
            </w:pPr>
            <w:r>
              <w:rPr>
                <w:rFonts w:hint="eastAsia" w:ascii="仿宋" w:hAnsi="仿宋" w:eastAsia="仿宋" w:cs="宋体"/>
                <w:b/>
                <w:bCs/>
                <w:color w:val="auto"/>
                <w:sz w:val="20"/>
                <w:szCs w:val="20"/>
              </w:rPr>
              <w:t>是否必须</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银行存款日余额表</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0101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0102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0103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期初原币余额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0104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期初本币余额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0105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借方原币金额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0106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借方本币金额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0107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贷方原币金额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0108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贷方本币金额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0109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期末原币余额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0110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期末本币余额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现金日余额表</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0201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现金账号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0202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现金账号名称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0203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0204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期初原币余额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0205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期初本币余额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0206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借方原币金额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0207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借方本币金额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0208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贷方原币金额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0209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贷方本币金额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0210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期末原币余额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0211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期末本币余额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银行对账单</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收付款日期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27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银行结算方式名称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245"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银行票据类型名称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对方账号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对方账号名称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对方开户行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摘要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0311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0312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4</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银行存款余额调节表</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0401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银行存款余额调节表ID</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0402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0403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截止日期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0404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银行存款日记账余额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0405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银行已收企业未收总金额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0406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银行已付企业未付总金额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0407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日记账调节后存款余额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0408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银行对账单余额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0409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企业已收银行未收总金额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0410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企业已付银行未付总金额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0411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对账单调节后存款余额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5</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银行存款余额调节表未达账项明细</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0501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银行存款余额调节表ID</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0502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收付款日期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0503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对方账号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0504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对方账号名称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0505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对方开户行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0506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摘要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0507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银行已收企业未收金额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0508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银行已付企业未付金额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0509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企业已收银行未收金额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0510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企业已付银行未付金额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6</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应收票据备查簿</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收票日期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商业汇票类型</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付款人账号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付款人开户行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收款人账号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收款人开户行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承兑人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出票日期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0611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到期日期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0612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0613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0614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票据行为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0615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票据行为日期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0616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贴现原币利息</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0617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贴现本币利息</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0618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票据行为原币金额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6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0619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票据行为本币金额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0620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票据状态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7</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应付票据备查簿</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开票日期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商业汇票类型</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0304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070</w:t>
            </w:r>
            <w:r>
              <w:rPr>
                <w:rFonts w:ascii="仿宋" w:hAnsi="仿宋" w:eastAsia="仿宋" w:cs="宋体"/>
                <w:color w:val="auto"/>
                <w:sz w:val="20"/>
                <w:szCs w:val="20"/>
              </w:rPr>
              <w:t>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开票手续费</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开票保证金</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付款人账号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付款人开户行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收款人账号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收款人开户行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承兑人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020711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出票日期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020712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到期日期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020713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020714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020715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票据行为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020716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票据行为日期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020717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贴现原币利息</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020718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贴现本币利息</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259"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020719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票据行为原币金额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222"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020720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票据行为本币金额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0620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票据状态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8</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银行借款合同</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借款合同号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贷款银行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银行机构编码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银行贷款账号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借款合同金额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利率</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期限</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合同开始日期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合同结束日期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11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担保方式</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12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用途</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13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合同状态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14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已发放金额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15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已归还金额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16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17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18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19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20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最后修改人编码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21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最后修改人名称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w:t>
            </w:r>
            <w:r>
              <w:rPr>
                <w:rFonts w:ascii="仿宋" w:hAnsi="仿宋" w:eastAsia="仿宋" w:cs="宋体"/>
                <w:color w:val="auto"/>
                <w:sz w:val="20"/>
                <w:szCs w:val="20"/>
              </w:rPr>
              <w:t>8</w:t>
            </w:r>
            <w:r>
              <w:rPr>
                <w:rFonts w:hint="eastAsia" w:ascii="仿宋" w:hAnsi="仿宋" w:eastAsia="仿宋" w:cs="宋体"/>
                <w:color w:val="auto"/>
                <w:sz w:val="20"/>
                <w:szCs w:val="20"/>
              </w:rPr>
              <w:t>22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最后修改时间</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09</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银行借款放款明细</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209</w:t>
            </w:r>
            <w:r>
              <w:rPr>
                <w:rFonts w:hint="eastAsia" w:ascii="仿宋" w:hAnsi="仿宋" w:eastAsia="仿宋" w:cs="宋体"/>
                <w:color w:val="auto"/>
                <w:sz w:val="20"/>
                <w:szCs w:val="20"/>
              </w:rPr>
              <w:t>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借款合同号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09</w:t>
            </w:r>
            <w:r>
              <w:rPr>
                <w:rFonts w:hint="eastAsia" w:ascii="仿宋" w:hAnsi="仿宋" w:eastAsia="仿宋" w:cs="宋体"/>
                <w:color w:val="auto"/>
                <w:sz w:val="20"/>
                <w:szCs w:val="20"/>
              </w:rPr>
              <w:t>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放款单编号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209</w:t>
            </w:r>
            <w:r>
              <w:rPr>
                <w:rFonts w:hint="eastAsia" w:ascii="仿宋" w:hAnsi="仿宋" w:eastAsia="仿宋" w:cs="宋体"/>
                <w:color w:val="auto"/>
                <w:sz w:val="20"/>
                <w:szCs w:val="20"/>
              </w:rPr>
              <w:t>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放款日期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0524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209</w:t>
            </w:r>
            <w:r>
              <w:rPr>
                <w:rFonts w:hint="eastAsia" w:ascii="仿宋" w:hAnsi="仿宋" w:eastAsia="仿宋" w:cs="宋体"/>
                <w:color w:val="auto"/>
                <w:sz w:val="20"/>
                <w:szCs w:val="20"/>
              </w:rPr>
              <w:t>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放款原币金额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209</w:t>
            </w:r>
            <w:r>
              <w:rPr>
                <w:rFonts w:hint="eastAsia" w:ascii="仿宋" w:hAnsi="仿宋" w:eastAsia="仿宋" w:cs="宋体"/>
                <w:color w:val="auto"/>
                <w:sz w:val="20"/>
                <w:szCs w:val="20"/>
              </w:rPr>
              <w:t>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放款本币金额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209</w:t>
            </w:r>
            <w:r>
              <w:rPr>
                <w:rFonts w:hint="eastAsia" w:ascii="仿宋" w:hAnsi="仿宋" w:eastAsia="仿宋" w:cs="宋体"/>
                <w:color w:val="auto"/>
                <w:sz w:val="20"/>
                <w:szCs w:val="20"/>
              </w:rPr>
              <w:t>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209</w:t>
            </w:r>
            <w:r>
              <w:rPr>
                <w:rFonts w:hint="eastAsia" w:ascii="仿宋" w:hAnsi="仿宋" w:eastAsia="仿宋" w:cs="宋体"/>
                <w:color w:val="auto"/>
                <w:sz w:val="20"/>
                <w:szCs w:val="20"/>
              </w:rPr>
              <w:t>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209</w:t>
            </w:r>
            <w:r>
              <w:rPr>
                <w:rFonts w:hint="eastAsia" w:ascii="仿宋" w:hAnsi="仿宋" w:eastAsia="仿宋" w:cs="宋体"/>
                <w:color w:val="auto"/>
                <w:sz w:val="20"/>
                <w:szCs w:val="20"/>
              </w:rPr>
              <w:t>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0</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银行借款还款明细</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0</w:t>
            </w:r>
            <w:r>
              <w:rPr>
                <w:rFonts w:hint="eastAsia" w:ascii="仿宋" w:hAnsi="仿宋" w:eastAsia="仿宋" w:cs="宋体"/>
                <w:color w:val="auto"/>
                <w:sz w:val="20"/>
                <w:szCs w:val="20"/>
              </w:rPr>
              <w:t>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借款合同号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0</w:t>
            </w:r>
            <w:r>
              <w:rPr>
                <w:rFonts w:hint="eastAsia" w:ascii="仿宋" w:hAnsi="仿宋" w:eastAsia="仿宋" w:cs="宋体"/>
                <w:color w:val="auto"/>
                <w:sz w:val="20"/>
                <w:szCs w:val="20"/>
              </w:rPr>
              <w:t>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还款日期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0</w:t>
            </w:r>
            <w:r>
              <w:rPr>
                <w:rFonts w:hint="eastAsia" w:ascii="仿宋" w:hAnsi="仿宋" w:eastAsia="仿宋" w:cs="宋体"/>
                <w:color w:val="auto"/>
                <w:sz w:val="20"/>
                <w:szCs w:val="20"/>
              </w:rPr>
              <w:t>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还本金原币金额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0</w:t>
            </w:r>
            <w:r>
              <w:rPr>
                <w:rFonts w:hint="eastAsia" w:ascii="仿宋" w:hAnsi="仿宋" w:eastAsia="仿宋" w:cs="宋体"/>
                <w:color w:val="auto"/>
                <w:sz w:val="20"/>
                <w:szCs w:val="20"/>
              </w:rPr>
              <w:t>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还本金本币金额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0</w:t>
            </w:r>
            <w:r>
              <w:rPr>
                <w:rFonts w:hint="eastAsia" w:ascii="仿宋" w:hAnsi="仿宋" w:eastAsia="仿宋" w:cs="宋体"/>
                <w:color w:val="auto"/>
                <w:sz w:val="20"/>
                <w:szCs w:val="20"/>
              </w:rPr>
              <w:t>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还利息原币金额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0</w:t>
            </w:r>
            <w:r>
              <w:rPr>
                <w:rFonts w:hint="eastAsia" w:ascii="仿宋" w:hAnsi="仿宋" w:eastAsia="仿宋" w:cs="宋体"/>
                <w:color w:val="auto"/>
                <w:sz w:val="20"/>
                <w:szCs w:val="20"/>
              </w:rPr>
              <w:t>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还利息本币金额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0</w:t>
            </w:r>
            <w:r>
              <w:rPr>
                <w:rFonts w:hint="eastAsia" w:ascii="仿宋" w:hAnsi="仿宋" w:eastAsia="仿宋" w:cs="宋体"/>
                <w:color w:val="auto"/>
                <w:sz w:val="20"/>
                <w:szCs w:val="20"/>
              </w:rPr>
              <w:t>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0</w:t>
            </w:r>
            <w:r>
              <w:rPr>
                <w:rFonts w:hint="eastAsia" w:ascii="仿宋" w:hAnsi="仿宋" w:eastAsia="仿宋" w:cs="宋体"/>
                <w:color w:val="auto"/>
                <w:sz w:val="20"/>
                <w:szCs w:val="20"/>
              </w:rPr>
              <w:t>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0</w:t>
            </w:r>
            <w:r>
              <w:rPr>
                <w:rFonts w:hint="eastAsia" w:ascii="仿宋" w:hAnsi="仿宋" w:eastAsia="仿宋" w:cs="宋体"/>
                <w:color w:val="auto"/>
                <w:sz w:val="20"/>
                <w:szCs w:val="20"/>
              </w:rPr>
              <w:t>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1</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委托贷款合同</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委托贷款合同号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委托方</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借款方</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银行机构编码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银行贷款账号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利率</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期限</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合同开始日期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合同结束日期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11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担保方式</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12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用途</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13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合同状态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14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已发放金额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15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已归还金额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16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贷款余额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17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18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1</w:t>
            </w:r>
            <w:r>
              <w:rPr>
                <w:rFonts w:hint="eastAsia" w:ascii="仿宋" w:hAnsi="仿宋" w:eastAsia="仿宋" w:cs="宋体"/>
                <w:color w:val="auto"/>
                <w:sz w:val="20"/>
                <w:szCs w:val="20"/>
              </w:rPr>
              <w:t>19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2</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委托贷款放款明细</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2</w:t>
            </w:r>
            <w:r>
              <w:rPr>
                <w:rFonts w:hint="eastAsia" w:ascii="仿宋" w:hAnsi="仿宋" w:eastAsia="仿宋" w:cs="宋体"/>
                <w:color w:val="auto"/>
                <w:sz w:val="20"/>
                <w:szCs w:val="20"/>
              </w:rPr>
              <w:t>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委托贷款合同号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2</w:t>
            </w:r>
            <w:r>
              <w:rPr>
                <w:rFonts w:hint="eastAsia" w:ascii="仿宋" w:hAnsi="仿宋" w:eastAsia="仿宋" w:cs="宋体"/>
                <w:color w:val="auto"/>
                <w:sz w:val="20"/>
                <w:szCs w:val="20"/>
              </w:rPr>
              <w:t>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放款单编号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2</w:t>
            </w:r>
            <w:r>
              <w:rPr>
                <w:rFonts w:hint="eastAsia" w:ascii="仿宋" w:hAnsi="仿宋" w:eastAsia="仿宋" w:cs="宋体"/>
                <w:color w:val="auto"/>
                <w:sz w:val="20"/>
                <w:szCs w:val="20"/>
              </w:rPr>
              <w:t>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放款日期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2</w:t>
            </w:r>
            <w:r>
              <w:rPr>
                <w:rFonts w:hint="eastAsia" w:ascii="仿宋" w:hAnsi="仿宋" w:eastAsia="仿宋" w:cs="宋体"/>
                <w:color w:val="auto"/>
                <w:sz w:val="20"/>
                <w:szCs w:val="20"/>
              </w:rPr>
              <w:t>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放款原币金额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2</w:t>
            </w:r>
            <w:r>
              <w:rPr>
                <w:rFonts w:hint="eastAsia" w:ascii="仿宋" w:hAnsi="仿宋" w:eastAsia="仿宋" w:cs="宋体"/>
                <w:color w:val="auto"/>
                <w:sz w:val="20"/>
                <w:szCs w:val="20"/>
              </w:rPr>
              <w:t>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放款本币金额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2</w:t>
            </w:r>
            <w:r>
              <w:rPr>
                <w:rFonts w:hint="eastAsia" w:ascii="仿宋" w:hAnsi="仿宋" w:eastAsia="仿宋" w:cs="宋体"/>
                <w:color w:val="auto"/>
                <w:sz w:val="20"/>
                <w:szCs w:val="20"/>
              </w:rPr>
              <w:t>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2</w:t>
            </w:r>
            <w:r>
              <w:rPr>
                <w:rFonts w:hint="eastAsia" w:ascii="仿宋" w:hAnsi="仿宋" w:eastAsia="仿宋" w:cs="宋体"/>
                <w:color w:val="auto"/>
                <w:sz w:val="20"/>
                <w:szCs w:val="20"/>
              </w:rPr>
              <w:t>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2</w:t>
            </w:r>
            <w:r>
              <w:rPr>
                <w:rFonts w:hint="eastAsia" w:ascii="仿宋" w:hAnsi="仿宋" w:eastAsia="仿宋" w:cs="宋体"/>
                <w:color w:val="auto"/>
                <w:sz w:val="20"/>
                <w:szCs w:val="20"/>
              </w:rPr>
              <w:t>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3</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委托贷款还款明细</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3</w:t>
            </w:r>
            <w:r>
              <w:rPr>
                <w:rFonts w:hint="eastAsia" w:ascii="仿宋" w:hAnsi="仿宋" w:eastAsia="仿宋" w:cs="宋体"/>
                <w:color w:val="auto"/>
                <w:sz w:val="20"/>
                <w:szCs w:val="20"/>
              </w:rPr>
              <w:t>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委托贷款合同号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3</w:t>
            </w:r>
            <w:r>
              <w:rPr>
                <w:rFonts w:hint="eastAsia" w:ascii="仿宋" w:hAnsi="仿宋" w:eastAsia="仿宋" w:cs="宋体"/>
                <w:color w:val="auto"/>
                <w:sz w:val="20"/>
                <w:szCs w:val="20"/>
              </w:rPr>
              <w:t>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还款日期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3</w:t>
            </w:r>
            <w:r>
              <w:rPr>
                <w:rFonts w:hint="eastAsia" w:ascii="仿宋" w:hAnsi="仿宋" w:eastAsia="仿宋" w:cs="宋体"/>
                <w:color w:val="auto"/>
                <w:sz w:val="20"/>
                <w:szCs w:val="20"/>
              </w:rPr>
              <w:t>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还本金原币金额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3</w:t>
            </w:r>
            <w:r>
              <w:rPr>
                <w:rFonts w:hint="eastAsia" w:ascii="仿宋" w:hAnsi="仿宋" w:eastAsia="仿宋" w:cs="宋体"/>
                <w:color w:val="auto"/>
                <w:sz w:val="20"/>
                <w:szCs w:val="20"/>
              </w:rPr>
              <w:t>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还本金本币金额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3</w:t>
            </w:r>
            <w:r>
              <w:rPr>
                <w:rFonts w:hint="eastAsia" w:ascii="仿宋" w:hAnsi="仿宋" w:eastAsia="仿宋" w:cs="宋体"/>
                <w:color w:val="auto"/>
                <w:sz w:val="20"/>
                <w:szCs w:val="20"/>
              </w:rPr>
              <w:t>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还利息原币金额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3</w:t>
            </w:r>
            <w:r>
              <w:rPr>
                <w:rFonts w:hint="eastAsia" w:ascii="仿宋" w:hAnsi="仿宋" w:eastAsia="仿宋" w:cs="宋体"/>
                <w:color w:val="auto"/>
                <w:sz w:val="20"/>
                <w:szCs w:val="20"/>
              </w:rPr>
              <w:t>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还利息本币金额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4</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对外担保备查簿</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担保签订日期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担保合同号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被担保人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担保方式</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0</w:t>
            </w:r>
            <w:r>
              <w:rPr>
                <w:rFonts w:ascii="仿宋" w:hAnsi="仿宋" w:eastAsia="仿宋" w:cs="宋体"/>
                <w:color w:val="auto"/>
                <w:sz w:val="20"/>
                <w:szCs w:val="20"/>
              </w:rPr>
              <w:t>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担保金额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0</w:t>
            </w:r>
            <w:r>
              <w:rPr>
                <w:rFonts w:ascii="仿宋" w:hAnsi="仿宋" w:eastAsia="仿宋" w:cs="宋体"/>
                <w:color w:val="auto"/>
                <w:sz w:val="20"/>
                <w:szCs w:val="20"/>
              </w:rPr>
              <w:t>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担保期限</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0</w:t>
            </w:r>
            <w:r>
              <w:rPr>
                <w:rFonts w:ascii="仿宋" w:hAnsi="仿宋" w:eastAsia="仿宋" w:cs="宋体"/>
                <w:color w:val="auto"/>
                <w:sz w:val="20"/>
                <w:szCs w:val="20"/>
              </w:rPr>
              <w:t>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担保开始日期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0</w:t>
            </w:r>
            <w:r>
              <w:rPr>
                <w:rFonts w:ascii="仿宋" w:hAnsi="仿宋" w:eastAsia="仿宋" w:cs="宋体"/>
                <w:color w:val="auto"/>
                <w:sz w:val="20"/>
                <w:szCs w:val="20"/>
              </w:rPr>
              <w:t>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担保结束日期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担保事由</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1</w:t>
            </w:r>
            <w:r>
              <w:rPr>
                <w:rFonts w:ascii="仿宋" w:hAnsi="仿宋" w:eastAsia="仿宋" w:cs="宋体"/>
                <w:color w:val="auto"/>
                <w:sz w:val="20"/>
                <w:szCs w:val="20"/>
              </w:rPr>
              <w:t>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担保备注</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1</w:t>
            </w:r>
            <w:r>
              <w:rPr>
                <w:rFonts w:ascii="仿宋" w:hAnsi="仿宋" w:eastAsia="仿宋" w:cs="宋体"/>
                <w:color w:val="auto"/>
                <w:sz w:val="20"/>
                <w:szCs w:val="20"/>
              </w:rPr>
              <w:t>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1</w:t>
            </w:r>
            <w:r>
              <w:rPr>
                <w:rFonts w:ascii="仿宋" w:hAnsi="仿宋" w:eastAsia="仿宋" w:cs="宋体"/>
                <w:color w:val="auto"/>
                <w:sz w:val="20"/>
                <w:szCs w:val="20"/>
              </w:rPr>
              <w:t>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4</w:t>
            </w:r>
            <w:r>
              <w:rPr>
                <w:rFonts w:hint="eastAsia" w:ascii="仿宋" w:hAnsi="仿宋" w:eastAsia="仿宋" w:cs="宋体"/>
                <w:color w:val="auto"/>
                <w:sz w:val="20"/>
                <w:szCs w:val="20"/>
              </w:rPr>
              <w:t>1</w:t>
            </w:r>
            <w:r>
              <w:rPr>
                <w:rFonts w:ascii="仿宋" w:hAnsi="仿宋" w:eastAsia="仿宋" w:cs="宋体"/>
                <w:color w:val="auto"/>
                <w:sz w:val="20"/>
                <w:szCs w:val="20"/>
              </w:rPr>
              <w:t>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5</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付款单</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单据编号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业务日期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付款人（全称）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收款人（全称）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付款银行账号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收款银行账号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11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12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13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14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15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w:t>
            </w:r>
            <w:r>
              <w:rPr>
                <w:rFonts w:hint="eastAsia" w:ascii="仿宋" w:hAnsi="仿宋" w:eastAsia="仿宋" w:cs="宋体"/>
                <w:color w:val="auto"/>
                <w:sz w:val="20"/>
                <w:szCs w:val="20"/>
              </w:rPr>
              <w:t>1</w:t>
            </w:r>
            <w:r>
              <w:rPr>
                <w:rFonts w:ascii="仿宋" w:hAnsi="仿宋" w:eastAsia="仿宋" w:cs="宋体"/>
                <w:color w:val="auto"/>
                <w:sz w:val="20"/>
                <w:szCs w:val="20"/>
              </w:rPr>
              <w:t>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交易明细</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517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摘要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050801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结算方式</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汇率</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518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付款原币金额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519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付款本币金额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6</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收款单</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单据编号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业务日期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收款人（全称）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付款人（全称）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收款银行账号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付款银行账号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11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12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13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14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15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w:t>
            </w:r>
            <w:r>
              <w:rPr>
                <w:rFonts w:hint="eastAsia" w:ascii="仿宋" w:hAnsi="仿宋" w:eastAsia="仿宋" w:cs="宋体"/>
                <w:color w:val="auto"/>
                <w:sz w:val="20"/>
                <w:szCs w:val="20"/>
              </w:rPr>
              <w:t>1</w:t>
            </w:r>
            <w:r>
              <w:rPr>
                <w:rFonts w:ascii="仿宋" w:hAnsi="仿宋" w:eastAsia="仿宋" w:cs="宋体"/>
                <w:color w:val="auto"/>
                <w:sz w:val="20"/>
                <w:szCs w:val="20"/>
              </w:rPr>
              <w:t>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交易明细</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617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摘要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xml:space="preserve"> 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050801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结算方式</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汇率</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618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收款原币金额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619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收款本币金额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7</w:t>
            </w:r>
          </w:p>
        </w:tc>
        <w:tc>
          <w:tcPr>
            <w:tcW w:w="1041"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转账单</w:t>
            </w: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单据编号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02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业务日期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03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转账人（全称）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04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转出开户行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217</w:t>
            </w:r>
            <w:r>
              <w:rPr>
                <w:rFonts w:hint="eastAsia" w:ascii="仿宋" w:hAnsi="仿宋" w:eastAsia="仿宋" w:cs="宋体"/>
                <w:color w:val="auto"/>
                <w:sz w:val="20"/>
                <w:szCs w:val="20"/>
              </w:rPr>
              <w:t>05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转出银行账号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06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转入开户行</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07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转入银行账号</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08</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摘要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050801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结算方式</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09</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原币金额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10</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本币金额</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11</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12</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13</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14</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15</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16</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00" w:hRule="atLeast"/>
        </w:trPr>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52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2</w:t>
            </w:r>
            <w:r>
              <w:rPr>
                <w:rFonts w:hint="eastAsia" w:ascii="仿宋" w:hAnsi="仿宋" w:eastAsia="仿宋" w:cs="宋体"/>
                <w:color w:val="auto"/>
                <w:sz w:val="20"/>
                <w:szCs w:val="20"/>
              </w:rPr>
              <w:t>1</w:t>
            </w:r>
            <w:r>
              <w:rPr>
                <w:rFonts w:ascii="仿宋" w:hAnsi="仿宋" w:eastAsia="仿宋" w:cs="宋体"/>
                <w:color w:val="auto"/>
                <w:sz w:val="20"/>
                <w:szCs w:val="20"/>
              </w:rPr>
              <w:t>7</w:t>
            </w:r>
            <w:r>
              <w:rPr>
                <w:rFonts w:hint="eastAsia" w:ascii="仿宋" w:hAnsi="仿宋" w:eastAsia="仿宋" w:cs="宋体"/>
                <w:color w:val="auto"/>
                <w:sz w:val="20"/>
                <w:szCs w:val="20"/>
              </w:rPr>
              <w:t>17</w:t>
            </w:r>
          </w:p>
        </w:tc>
        <w:tc>
          <w:tcPr>
            <w:tcW w:w="1945"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97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1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bl>
    <w:p>
      <w:pPr>
        <w:keepNext/>
        <w:keepLines/>
        <w:numPr>
          <w:ilvl w:val="0"/>
          <w:numId w:val="0"/>
        </w:numPr>
        <w:spacing w:before="260" w:after="260" w:line="415" w:lineRule="auto"/>
        <w:ind w:leftChars="0"/>
        <w:outlineLvl w:val="2"/>
        <w:rPr>
          <w:rFonts w:hint="default" w:ascii="等线" w:hAnsi="等线" w:eastAsia="宋体"/>
          <w:b/>
          <w:bCs/>
          <w:szCs w:val="32"/>
          <w:lang w:val="en"/>
        </w:rPr>
      </w:pPr>
      <w:r>
        <w:rPr>
          <w:rFonts w:hint="eastAsia" w:ascii="等线" w:hAnsi="等线" w:eastAsia="宋体"/>
          <w:b/>
          <w:bCs/>
          <w:szCs w:val="32"/>
          <w:lang w:val="en-US" w:eastAsia="zh-CN"/>
        </w:rPr>
        <w:t>A.</w:t>
      </w:r>
      <w:r>
        <w:rPr>
          <w:rFonts w:hint="default" w:ascii="等线" w:hAnsi="等线" w:eastAsia="宋体"/>
          <w:b/>
          <w:bCs/>
          <w:szCs w:val="32"/>
          <w:lang w:val="en"/>
        </w:rPr>
        <w:t>1.3</w:t>
      </w:r>
      <w:r>
        <w:rPr>
          <w:rFonts w:hint="eastAsia" w:ascii="等线" w:hAnsi="等线" w:eastAsia="宋体"/>
          <w:b/>
          <w:bCs/>
          <w:szCs w:val="32"/>
          <w:lang w:val="en"/>
        </w:rPr>
        <w:t>费用管理模块</w:t>
      </w:r>
    </w:p>
    <w:p>
      <w:pPr>
        <w:pStyle w:val="5"/>
        <w:rPr>
          <w:color w:val="auto"/>
        </w:rPr>
      </w:pPr>
      <w:r>
        <w:rPr>
          <w:rFonts w:hint="eastAsia"/>
          <w:color w:val="auto"/>
          <w:lang w:val="en-US" w:eastAsia="zh-CN"/>
        </w:rPr>
        <w:t>A.</w:t>
      </w:r>
      <w:r>
        <w:rPr>
          <w:color w:val="auto"/>
        </w:rPr>
        <w:t>1.3.1</w:t>
      </w:r>
      <w:r>
        <w:rPr>
          <w:rFonts w:hint="eastAsia"/>
          <w:color w:val="auto"/>
        </w:rPr>
        <w:t>元素清单范围</w:t>
      </w:r>
    </w:p>
    <w:p>
      <w:pPr>
        <w:ind w:firstLine="560" w:firstLineChars="200"/>
        <w:rPr>
          <w:rFonts w:ascii="仿宋" w:hAnsi="仿宋" w:eastAsia="仿宋"/>
          <w:color w:val="auto"/>
          <w:sz w:val="28"/>
          <w:szCs w:val="28"/>
        </w:rPr>
      </w:pPr>
      <w:r>
        <w:rPr>
          <w:rFonts w:ascii="仿宋" w:hAnsi="仿宋" w:eastAsia="仿宋"/>
          <w:color w:val="auto"/>
          <w:sz w:val="28"/>
          <w:szCs w:val="28"/>
        </w:rPr>
        <w:t>1报销单</w:t>
      </w:r>
      <w:r>
        <w:rPr>
          <w:rFonts w:hint="eastAsia" w:ascii="仿宋" w:hAnsi="仿宋" w:eastAsia="仿宋"/>
          <w:color w:val="auto"/>
          <w:sz w:val="28"/>
          <w:szCs w:val="28"/>
        </w:rPr>
        <w:t>、</w:t>
      </w:r>
      <w:r>
        <w:rPr>
          <w:rFonts w:ascii="仿宋" w:hAnsi="仿宋" w:eastAsia="仿宋"/>
          <w:color w:val="auto"/>
          <w:sz w:val="28"/>
          <w:szCs w:val="28"/>
        </w:rPr>
        <w:t>2借款单</w:t>
      </w:r>
      <w:r>
        <w:rPr>
          <w:rFonts w:hint="eastAsia" w:ascii="仿宋" w:hAnsi="仿宋" w:eastAsia="仿宋"/>
          <w:color w:val="auto"/>
          <w:sz w:val="28"/>
          <w:szCs w:val="28"/>
        </w:rPr>
        <w:t>、</w:t>
      </w:r>
      <w:r>
        <w:rPr>
          <w:rFonts w:ascii="仿宋" w:hAnsi="仿宋" w:eastAsia="仿宋"/>
          <w:color w:val="auto"/>
          <w:sz w:val="28"/>
          <w:szCs w:val="28"/>
        </w:rPr>
        <w:t>3费用预提单</w:t>
      </w:r>
      <w:r>
        <w:rPr>
          <w:rFonts w:hint="eastAsia" w:ascii="仿宋" w:hAnsi="仿宋" w:eastAsia="仿宋"/>
          <w:color w:val="auto"/>
          <w:sz w:val="28"/>
          <w:szCs w:val="28"/>
        </w:rPr>
        <w:t>、4费用调整单、</w:t>
      </w:r>
      <w:r>
        <w:rPr>
          <w:rFonts w:ascii="仿宋" w:hAnsi="仿宋" w:eastAsia="仿宋"/>
          <w:color w:val="auto"/>
          <w:sz w:val="28"/>
          <w:szCs w:val="28"/>
        </w:rPr>
        <w:t>5</w:t>
      </w:r>
      <w:r>
        <w:rPr>
          <w:rFonts w:hint="eastAsia" w:ascii="仿宋" w:hAnsi="仿宋" w:eastAsia="仿宋"/>
          <w:color w:val="auto"/>
          <w:sz w:val="28"/>
          <w:szCs w:val="28"/>
          <w:lang w:eastAsia="zh-CN"/>
        </w:rPr>
        <w:t>费用明细账</w:t>
      </w:r>
    </w:p>
    <w:p>
      <w:pPr>
        <w:pStyle w:val="5"/>
        <w:rPr>
          <w:color w:val="auto"/>
        </w:rPr>
      </w:pPr>
      <w:r>
        <w:rPr>
          <w:color w:val="auto"/>
        </w:rPr>
        <w:t>1.3.2</w:t>
      </w:r>
      <w:r>
        <w:rPr>
          <w:rFonts w:hint="eastAsia"/>
          <w:color w:val="auto"/>
        </w:rPr>
        <w:t>资金元素清单及属性</w:t>
      </w:r>
    </w:p>
    <w:tbl>
      <w:tblPr>
        <w:tblStyle w:val="24"/>
        <w:tblW w:w="8046" w:type="dxa"/>
        <w:tblInd w:w="0" w:type="dxa"/>
        <w:tblLayout w:type="fixed"/>
        <w:tblCellMar>
          <w:top w:w="0" w:type="dxa"/>
          <w:left w:w="108" w:type="dxa"/>
          <w:bottom w:w="0" w:type="dxa"/>
          <w:right w:w="108" w:type="dxa"/>
        </w:tblCellMar>
      </w:tblPr>
      <w:tblGrid>
        <w:gridCol w:w="500"/>
        <w:gridCol w:w="1060"/>
        <w:gridCol w:w="1383"/>
        <w:gridCol w:w="1843"/>
        <w:gridCol w:w="992"/>
        <w:gridCol w:w="1134"/>
        <w:gridCol w:w="1134"/>
      </w:tblGrid>
      <w:tr>
        <w:tblPrEx>
          <w:tblCellMar>
            <w:top w:w="0" w:type="dxa"/>
            <w:left w:w="108" w:type="dxa"/>
            <w:bottom w:w="0" w:type="dxa"/>
            <w:right w:w="108" w:type="dxa"/>
          </w:tblCellMar>
        </w:tblPrEx>
        <w:trPr>
          <w:trHeight w:val="620" w:hRule="atLeast"/>
        </w:trPr>
        <w:tc>
          <w:tcPr>
            <w:tcW w:w="500"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编号</w:t>
            </w:r>
          </w:p>
        </w:tc>
        <w:tc>
          <w:tcPr>
            <w:tcW w:w="1060"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子模块名</w:t>
            </w:r>
          </w:p>
        </w:tc>
        <w:tc>
          <w:tcPr>
            <w:tcW w:w="1383"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元素标识符</w:t>
            </w:r>
          </w:p>
        </w:tc>
        <w:tc>
          <w:tcPr>
            <w:tcW w:w="1843"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元素名称</w:t>
            </w:r>
          </w:p>
        </w:tc>
        <w:tc>
          <w:tcPr>
            <w:tcW w:w="992"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级别</w:t>
            </w:r>
          </w:p>
        </w:tc>
        <w:tc>
          <w:tcPr>
            <w:tcW w:w="1134"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是否虚元素</w:t>
            </w:r>
          </w:p>
        </w:tc>
        <w:tc>
          <w:tcPr>
            <w:tcW w:w="1134"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是否必须</w:t>
            </w:r>
          </w:p>
        </w:tc>
      </w:tr>
      <w:tr>
        <w:tblPrEx>
          <w:tblCellMar>
            <w:top w:w="0" w:type="dxa"/>
            <w:left w:w="108" w:type="dxa"/>
            <w:bottom w:w="0" w:type="dxa"/>
            <w:right w:w="108" w:type="dxa"/>
          </w:tblCellMar>
        </w:tblPrEx>
        <w:trPr>
          <w:trHeight w:val="320" w:hRule="atLeast"/>
        </w:trPr>
        <w:tc>
          <w:tcPr>
            <w:tcW w:w="500" w:type="dxa"/>
            <w:vMerge w:val="restart"/>
            <w:tcBorders>
              <w:top w:val="nil"/>
              <w:left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p>
        </w:tc>
        <w:tc>
          <w:tcPr>
            <w:tcW w:w="1060" w:type="dxa"/>
            <w:vMerge w:val="restart"/>
            <w:tcBorders>
              <w:top w:val="nil"/>
              <w:left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报销单</w:t>
            </w: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0101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报销单号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0102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报销类型编码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0103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报销类型名称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0104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单据日期</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0501</w:t>
            </w:r>
            <w:r>
              <w:rPr>
                <w:rFonts w:hint="eastAsia" w:ascii="仿宋" w:hAnsi="仿宋" w:eastAsia="仿宋" w:cs="宋体"/>
                <w:color w:val="auto"/>
                <w:sz w:val="20"/>
                <w:szCs w:val="20"/>
              </w:rPr>
              <w:t>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1</w:t>
            </w:r>
            <w:r>
              <w:rPr>
                <w:rFonts w:hint="eastAsia" w:ascii="仿宋" w:hAnsi="仿宋" w:eastAsia="仿宋" w:cs="宋体"/>
                <w:color w:val="auto"/>
                <w:sz w:val="20"/>
                <w:szCs w:val="20"/>
              </w:rPr>
              <w:t>0502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0105</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0106</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0107</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030108</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事由</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030109</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报销单明细</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币种编码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汇率</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030110</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原币金额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030111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本币金额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报销人部门编码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报销人部门名称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030112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报销人单位编码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030113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报销人单位名称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030114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报销人编码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030115</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报销人名称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　</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030116</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收款人编码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　</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030117</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收款人名称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030118</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收款对象</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030119</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支付金额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030120</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支付本币金额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030121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费用分摊明细</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030122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费用承担组织编码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030123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费用承担组织名称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费用承担部门编码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费用承担部门名称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币种编码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汇率</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030124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费用承担原币金额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030125</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费用承担本币金额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30126</w:t>
            </w:r>
          </w:p>
        </w:tc>
        <w:tc>
          <w:tcPr>
            <w:tcW w:w="1843" w:type="dxa"/>
            <w:tcBorders>
              <w:top w:val="nil"/>
              <w:left w:val="nil"/>
              <w:bottom w:val="single" w:color="auto" w:sz="4" w:space="0"/>
              <w:right w:val="single" w:color="auto" w:sz="4" w:space="0"/>
            </w:tcBorders>
            <w:shd w:val="clear" w:color="000000" w:fill="FFFFFF"/>
            <w:vAlign w:val="center"/>
          </w:tcPr>
          <w:p>
            <w:pPr>
              <w:rPr>
                <w:rFonts w:hint="eastAsia" w:ascii="仿宋" w:hAnsi="仿宋" w:eastAsia="仿宋" w:cs="宋体"/>
                <w:color w:val="auto"/>
                <w:sz w:val="20"/>
                <w:szCs w:val="20"/>
              </w:rPr>
            </w:pPr>
            <w:r>
              <w:rPr>
                <w:rFonts w:hint="eastAsia" w:ascii="仿宋" w:hAnsi="仿宋" w:eastAsia="仿宋" w:cs="宋体"/>
                <w:color w:val="auto"/>
                <w:sz w:val="20"/>
                <w:szCs w:val="20"/>
              </w:rPr>
              <w:t>原始凭证号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060" w:type="dxa"/>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借款单</w:t>
            </w: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0201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借款单号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0202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借款类型编码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0203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借款类型名称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0204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单据日期</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0501</w:t>
            </w:r>
            <w:r>
              <w:rPr>
                <w:rFonts w:hint="eastAsia" w:ascii="仿宋" w:hAnsi="仿宋" w:eastAsia="仿宋" w:cs="宋体"/>
                <w:color w:val="auto"/>
                <w:sz w:val="20"/>
                <w:szCs w:val="20"/>
              </w:rPr>
              <w:t>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1</w:t>
            </w:r>
            <w:r>
              <w:rPr>
                <w:rFonts w:hint="eastAsia" w:ascii="仿宋" w:hAnsi="仿宋" w:eastAsia="仿宋" w:cs="宋体"/>
                <w:color w:val="auto"/>
                <w:sz w:val="20"/>
                <w:szCs w:val="20"/>
              </w:rPr>
              <w:t>0502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借款人部门编码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借款人部门名称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030205</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借款人单位编码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030206</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借款人单位名称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030207</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收款对象</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030208</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收款人编码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　</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030209</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收款人名称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030210</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支付金额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030211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支付本币金额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030212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事由</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030213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030214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030215</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030216</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借款单明细</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币种编码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汇率</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030217</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原币金额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030218</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本币金额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0501</w:t>
            </w:r>
            <w:r>
              <w:rPr>
                <w:rFonts w:hint="eastAsia" w:ascii="仿宋" w:hAnsi="仿宋" w:eastAsia="仿宋" w:cs="宋体"/>
                <w:color w:val="auto"/>
                <w:sz w:val="20"/>
                <w:szCs w:val="20"/>
              </w:rPr>
              <w:t>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1</w:t>
            </w:r>
            <w:r>
              <w:rPr>
                <w:rFonts w:hint="eastAsia" w:ascii="仿宋" w:hAnsi="仿宋" w:eastAsia="仿宋" w:cs="宋体"/>
                <w:color w:val="auto"/>
                <w:sz w:val="20"/>
                <w:szCs w:val="20"/>
              </w:rPr>
              <w:t>0502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030219</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原币金额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030220</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本币金额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060" w:type="dxa"/>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费用预提单</w:t>
            </w: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费用预提单号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单据日期</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0303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经办人编码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0304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经办人名称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经办人部门编码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经办人部门名称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0305</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经办人单位编码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0306</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经办人单位名称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0307</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费用预提类型编码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0308</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费用预提类型名称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0309</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事由</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0310</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0311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0312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1</w:t>
            </w:r>
            <w:r>
              <w:rPr>
                <w:rFonts w:hint="eastAsia" w:ascii="仿宋" w:hAnsi="仿宋" w:eastAsia="仿宋" w:cs="宋体"/>
                <w:color w:val="auto"/>
                <w:sz w:val="20"/>
                <w:szCs w:val="20"/>
              </w:rPr>
              <w:t>0502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030313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费用预提明细</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费用承担部门编码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费用承担部门名称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030314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费用承担单位编码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030315</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费用承担单位名称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030316</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预提原币金额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030317</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预提本币余额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030318</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预提本币核销金额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4</w:t>
            </w:r>
          </w:p>
        </w:tc>
        <w:tc>
          <w:tcPr>
            <w:tcW w:w="1060" w:type="dxa"/>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费用调整单</w:t>
            </w: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费用调整单号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费用调整类型编码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0403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费用调整类型名称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0404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单据日期</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0405</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0406</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报销单位编码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0407</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报销单位名称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　</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050502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客户编码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050503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客户名称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0408</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报销人单位编码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0409</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报销人单位名称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费用承担部门编码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费用承担部门名称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0410</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费用承担单位编码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0411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费用承担单位名称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供应商编码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供应商名称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0412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报销人编码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0413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报销人名称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0414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合计金额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0415</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报销原币金额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0416</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报销本币金额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0417</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事由</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0418</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0419</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0420</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1</w:t>
            </w:r>
            <w:r>
              <w:rPr>
                <w:rFonts w:hint="eastAsia" w:ascii="仿宋" w:hAnsi="仿宋" w:eastAsia="仿宋" w:cs="宋体"/>
                <w:color w:val="auto"/>
                <w:sz w:val="20"/>
                <w:szCs w:val="20"/>
              </w:rPr>
              <w:t>0502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030421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费用调整明细</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030422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费用承担组织编码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030423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费用承担组织名称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费用承担部门编码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费用承担部门名称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币种编码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汇率</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030424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费用承担原币金额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030425</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  费用承担本币金额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5</w:t>
            </w:r>
          </w:p>
        </w:tc>
        <w:tc>
          <w:tcPr>
            <w:tcW w:w="1060" w:type="dxa"/>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费用明细账</w:t>
            </w: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0501</w:t>
            </w:r>
            <w:r>
              <w:rPr>
                <w:rFonts w:hint="eastAsia" w:ascii="仿宋" w:hAnsi="仿宋" w:eastAsia="仿宋" w:cs="宋体"/>
                <w:color w:val="auto"/>
                <w:sz w:val="20"/>
                <w:szCs w:val="20"/>
              </w:rPr>
              <w:t>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单据号</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交易类型编码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0503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交易类型名称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0504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单据日期</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报销部门编码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报销部门名称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0505</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报销人单位编码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0506</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报销人单位名称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0507</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报销人编码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0508</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报销人名称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0509</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事由</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承担部门名称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0302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承担部门编码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0510</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承担单位名称</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0511</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承担单位编码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0512</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原币金额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0513</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本币金额</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500"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60" w:type="dxa"/>
            <w:vMerge w:val="continue"/>
            <w:tcBorders>
              <w:top w:val="nil"/>
              <w:left w:val="single" w:color="auto" w:sz="4" w:space="0"/>
              <w:bottom w:val="single" w:color="000000" w:sz="4" w:space="0"/>
              <w:right w:val="single" w:color="auto" w:sz="4" w:space="0"/>
            </w:tcBorders>
            <w:shd w:val="clear" w:color="auto" w:fill="auto"/>
            <w:vAlign w:val="center"/>
          </w:tcPr>
          <w:p>
            <w:pPr>
              <w:rPr>
                <w:rFonts w:ascii="仿宋" w:hAnsi="仿宋" w:eastAsia="仿宋" w:cs="宋体"/>
                <w:color w:val="auto"/>
                <w:sz w:val="20"/>
                <w:szCs w:val="20"/>
              </w:rPr>
            </w:pPr>
          </w:p>
        </w:tc>
        <w:tc>
          <w:tcPr>
            <w:tcW w:w="1383"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3</w:t>
            </w:r>
            <w:r>
              <w:rPr>
                <w:rFonts w:hint="eastAsia" w:ascii="仿宋" w:hAnsi="仿宋" w:eastAsia="仿宋" w:cs="宋体"/>
                <w:color w:val="auto"/>
                <w:sz w:val="20"/>
                <w:szCs w:val="20"/>
              </w:rPr>
              <w:t>0514</w:t>
            </w:r>
          </w:p>
        </w:tc>
        <w:tc>
          <w:tcPr>
            <w:tcW w:w="1843"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单据状态</w:t>
            </w:r>
          </w:p>
        </w:tc>
        <w:tc>
          <w:tcPr>
            <w:tcW w:w="992"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bl>
    <w:p>
      <w:pPr>
        <w:keepNext/>
        <w:keepLines/>
        <w:numPr>
          <w:ilvl w:val="0"/>
          <w:numId w:val="0"/>
        </w:numPr>
        <w:spacing w:before="260" w:after="260" w:line="415" w:lineRule="auto"/>
        <w:ind w:leftChars="0"/>
        <w:outlineLvl w:val="2"/>
        <w:rPr>
          <w:rFonts w:hint="default" w:ascii="等线" w:hAnsi="等线" w:eastAsia="宋体"/>
          <w:b/>
          <w:bCs/>
          <w:szCs w:val="32"/>
          <w:lang w:val="en"/>
        </w:rPr>
      </w:pPr>
      <w:r>
        <w:rPr>
          <w:rFonts w:hint="eastAsia" w:ascii="等线" w:hAnsi="等线" w:eastAsia="宋体"/>
          <w:b/>
          <w:bCs/>
          <w:szCs w:val="32"/>
          <w:lang w:val="en-US" w:eastAsia="zh-CN"/>
        </w:rPr>
        <w:t>A.</w:t>
      </w:r>
      <w:r>
        <w:rPr>
          <w:rFonts w:hint="default" w:ascii="等线" w:hAnsi="等线" w:eastAsia="宋体"/>
          <w:b/>
          <w:bCs/>
          <w:szCs w:val="32"/>
          <w:lang w:val="en"/>
        </w:rPr>
        <w:t>1.4</w:t>
      </w:r>
      <w:r>
        <w:rPr>
          <w:rFonts w:hint="eastAsia" w:ascii="等线" w:hAnsi="等线" w:eastAsia="宋体"/>
          <w:b/>
          <w:bCs/>
          <w:szCs w:val="32"/>
          <w:lang w:val="en"/>
        </w:rPr>
        <w:t>供应链模块</w:t>
      </w:r>
    </w:p>
    <w:p>
      <w:pPr>
        <w:pStyle w:val="5"/>
        <w:rPr>
          <w:color w:val="auto"/>
        </w:rPr>
      </w:pPr>
      <w:r>
        <w:rPr>
          <w:rFonts w:hint="eastAsia"/>
          <w:color w:val="auto"/>
          <w:lang w:val="en-US" w:eastAsia="zh-CN"/>
        </w:rPr>
        <w:t>A.</w:t>
      </w:r>
      <w:r>
        <w:rPr>
          <w:color w:val="auto"/>
        </w:rPr>
        <w:t>1.4.1</w:t>
      </w:r>
      <w:r>
        <w:rPr>
          <w:rFonts w:hint="eastAsia"/>
          <w:color w:val="auto"/>
        </w:rPr>
        <w:t>元素清单范围</w:t>
      </w:r>
    </w:p>
    <w:p>
      <w:pPr>
        <w:ind w:firstLine="560" w:firstLineChars="200"/>
        <w:rPr>
          <w:rFonts w:ascii="仿宋" w:hAnsi="仿宋" w:eastAsia="仿宋"/>
          <w:color w:val="auto"/>
          <w:sz w:val="28"/>
          <w:szCs w:val="28"/>
          <w:highlight w:val="yellow"/>
        </w:rPr>
      </w:pPr>
      <w:r>
        <w:rPr>
          <w:rFonts w:ascii="仿宋" w:hAnsi="仿宋" w:eastAsia="仿宋"/>
          <w:color w:val="auto"/>
          <w:sz w:val="28"/>
          <w:szCs w:val="28"/>
        </w:rPr>
        <w:t>1入库单</w:t>
      </w:r>
      <w:r>
        <w:rPr>
          <w:rFonts w:hint="eastAsia" w:ascii="仿宋" w:hAnsi="仿宋" w:eastAsia="仿宋"/>
          <w:color w:val="auto"/>
          <w:sz w:val="28"/>
          <w:szCs w:val="28"/>
        </w:rPr>
        <w:t>、</w:t>
      </w:r>
      <w:r>
        <w:rPr>
          <w:rFonts w:ascii="仿宋" w:hAnsi="仿宋" w:eastAsia="仿宋"/>
          <w:color w:val="auto"/>
          <w:sz w:val="28"/>
          <w:szCs w:val="28"/>
        </w:rPr>
        <w:t>2出库单</w:t>
      </w:r>
      <w:r>
        <w:rPr>
          <w:rFonts w:hint="eastAsia" w:ascii="仿宋" w:hAnsi="仿宋" w:eastAsia="仿宋"/>
          <w:color w:val="auto"/>
          <w:sz w:val="28"/>
          <w:szCs w:val="28"/>
        </w:rPr>
        <w:t>、</w:t>
      </w:r>
      <w:r>
        <w:rPr>
          <w:rFonts w:ascii="仿宋" w:hAnsi="仿宋" w:eastAsia="仿宋"/>
          <w:color w:val="auto"/>
          <w:sz w:val="28"/>
          <w:szCs w:val="28"/>
        </w:rPr>
        <w:t>3盘点单</w:t>
      </w:r>
      <w:r>
        <w:rPr>
          <w:rFonts w:hint="eastAsia" w:ascii="仿宋" w:hAnsi="仿宋" w:eastAsia="仿宋"/>
          <w:color w:val="auto"/>
          <w:sz w:val="28"/>
          <w:szCs w:val="28"/>
        </w:rPr>
        <w:t>、</w:t>
      </w:r>
      <w:r>
        <w:rPr>
          <w:rFonts w:ascii="仿宋" w:hAnsi="仿宋" w:eastAsia="仿宋"/>
          <w:color w:val="auto"/>
          <w:sz w:val="28"/>
          <w:szCs w:val="28"/>
        </w:rPr>
        <w:t>4出入库调整单</w:t>
      </w:r>
      <w:r>
        <w:rPr>
          <w:rFonts w:hint="eastAsia" w:ascii="仿宋" w:hAnsi="仿宋" w:eastAsia="仿宋"/>
          <w:color w:val="auto"/>
          <w:sz w:val="28"/>
          <w:szCs w:val="28"/>
        </w:rPr>
        <w:t>、</w:t>
      </w:r>
      <w:r>
        <w:rPr>
          <w:rFonts w:ascii="仿宋" w:hAnsi="仿宋" w:eastAsia="仿宋"/>
          <w:color w:val="auto"/>
          <w:sz w:val="28"/>
          <w:szCs w:val="28"/>
        </w:rPr>
        <w:t>5存货明细账</w:t>
      </w:r>
      <w:r>
        <w:rPr>
          <w:rFonts w:hint="eastAsia" w:ascii="仿宋" w:hAnsi="仿宋" w:eastAsia="仿宋"/>
          <w:color w:val="auto"/>
          <w:sz w:val="28"/>
          <w:szCs w:val="28"/>
        </w:rPr>
        <w:t>、</w:t>
      </w:r>
      <w:r>
        <w:rPr>
          <w:rFonts w:ascii="仿宋" w:hAnsi="仿宋" w:eastAsia="仿宋"/>
          <w:color w:val="auto"/>
          <w:sz w:val="28"/>
          <w:szCs w:val="28"/>
        </w:rPr>
        <w:t>6采购申请</w:t>
      </w:r>
      <w:r>
        <w:rPr>
          <w:rFonts w:hint="eastAsia" w:ascii="仿宋" w:hAnsi="仿宋" w:eastAsia="仿宋"/>
          <w:color w:val="auto"/>
          <w:sz w:val="28"/>
          <w:szCs w:val="28"/>
        </w:rPr>
        <w:t>、</w:t>
      </w:r>
      <w:r>
        <w:rPr>
          <w:rFonts w:ascii="仿宋" w:hAnsi="仿宋" w:eastAsia="仿宋"/>
          <w:color w:val="auto"/>
          <w:sz w:val="28"/>
          <w:szCs w:val="28"/>
        </w:rPr>
        <w:t>7采购合同</w:t>
      </w:r>
      <w:r>
        <w:rPr>
          <w:rFonts w:hint="eastAsia" w:ascii="仿宋" w:hAnsi="仿宋" w:eastAsia="仿宋"/>
          <w:color w:val="auto"/>
          <w:sz w:val="28"/>
          <w:szCs w:val="28"/>
        </w:rPr>
        <w:t>、</w:t>
      </w:r>
      <w:r>
        <w:rPr>
          <w:rFonts w:ascii="仿宋" w:hAnsi="仿宋" w:eastAsia="仿宋"/>
          <w:color w:val="auto"/>
          <w:sz w:val="28"/>
          <w:szCs w:val="28"/>
        </w:rPr>
        <w:t>8采购订单</w:t>
      </w:r>
      <w:r>
        <w:rPr>
          <w:rFonts w:hint="eastAsia" w:ascii="仿宋" w:hAnsi="仿宋" w:eastAsia="仿宋"/>
          <w:color w:val="auto"/>
          <w:sz w:val="28"/>
          <w:szCs w:val="28"/>
        </w:rPr>
        <w:t>、9</w:t>
      </w:r>
      <w:r>
        <w:rPr>
          <w:rFonts w:ascii="仿宋" w:hAnsi="仿宋" w:eastAsia="仿宋"/>
          <w:color w:val="auto"/>
          <w:sz w:val="28"/>
          <w:szCs w:val="28"/>
        </w:rPr>
        <w:t>到货单</w:t>
      </w:r>
      <w:r>
        <w:rPr>
          <w:rFonts w:hint="eastAsia" w:ascii="仿宋" w:hAnsi="仿宋" w:eastAsia="仿宋"/>
          <w:color w:val="auto"/>
          <w:sz w:val="28"/>
          <w:szCs w:val="28"/>
        </w:rPr>
        <w:t>、</w:t>
      </w:r>
      <w:r>
        <w:rPr>
          <w:rFonts w:ascii="仿宋" w:hAnsi="仿宋" w:eastAsia="仿宋"/>
          <w:color w:val="auto"/>
          <w:sz w:val="28"/>
          <w:szCs w:val="28"/>
        </w:rPr>
        <w:t>10采购发票</w:t>
      </w:r>
      <w:r>
        <w:rPr>
          <w:rFonts w:hint="eastAsia" w:ascii="仿宋" w:hAnsi="仿宋" w:eastAsia="仿宋"/>
          <w:color w:val="auto"/>
          <w:sz w:val="28"/>
          <w:szCs w:val="28"/>
        </w:rPr>
        <w:t>、</w:t>
      </w:r>
      <w:r>
        <w:rPr>
          <w:rFonts w:ascii="仿宋" w:hAnsi="仿宋" w:eastAsia="仿宋"/>
          <w:color w:val="auto"/>
          <w:sz w:val="28"/>
          <w:szCs w:val="28"/>
        </w:rPr>
        <w:t>11采购结算单</w:t>
      </w:r>
      <w:r>
        <w:rPr>
          <w:rFonts w:hint="eastAsia" w:ascii="仿宋" w:hAnsi="仿宋" w:eastAsia="仿宋"/>
          <w:color w:val="auto"/>
          <w:sz w:val="28"/>
          <w:szCs w:val="28"/>
        </w:rPr>
        <w:t>、</w:t>
      </w:r>
      <w:r>
        <w:rPr>
          <w:rFonts w:ascii="仿宋" w:hAnsi="仿宋" w:eastAsia="仿宋"/>
          <w:color w:val="auto"/>
          <w:sz w:val="28"/>
          <w:szCs w:val="28"/>
        </w:rPr>
        <w:t>12销售合同</w:t>
      </w:r>
      <w:r>
        <w:rPr>
          <w:rFonts w:hint="eastAsia" w:ascii="仿宋" w:hAnsi="仿宋" w:eastAsia="仿宋"/>
          <w:color w:val="auto"/>
          <w:sz w:val="28"/>
          <w:szCs w:val="28"/>
        </w:rPr>
        <w:t>、</w:t>
      </w:r>
      <w:r>
        <w:rPr>
          <w:rFonts w:ascii="仿宋" w:hAnsi="仿宋" w:eastAsia="仿宋"/>
          <w:color w:val="auto"/>
          <w:sz w:val="28"/>
          <w:szCs w:val="28"/>
        </w:rPr>
        <w:t>13销售订单</w:t>
      </w:r>
      <w:r>
        <w:rPr>
          <w:rFonts w:hint="eastAsia" w:ascii="仿宋" w:hAnsi="仿宋" w:eastAsia="仿宋"/>
          <w:color w:val="auto"/>
          <w:sz w:val="28"/>
          <w:szCs w:val="28"/>
        </w:rPr>
        <w:t>、</w:t>
      </w:r>
      <w:r>
        <w:rPr>
          <w:rFonts w:ascii="仿宋" w:hAnsi="仿宋" w:eastAsia="仿宋"/>
          <w:color w:val="auto"/>
          <w:sz w:val="28"/>
          <w:szCs w:val="28"/>
        </w:rPr>
        <w:t>14发货单</w:t>
      </w:r>
      <w:r>
        <w:rPr>
          <w:rFonts w:hint="eastAsia" w:ascii="仿宋" w:hAnsi="仿宋" w:eastAsia="仿宋"/>
          <w:color w:val="auto"/>
          <w:sz w:val="28"/>
          <w:szCs w:val="28"/>
        </w:rPr>
        <w:t>、</w:t>
      </w:r>
      <w:r>
        <w:rPr>
          <w:rFonts w:ascii="仿宋" w:hAnsi="仿宋" w:eastAsia="仿宋"/>
          <w:color w:val="auto"/>
          <w:sz w:val="28"/>
          <w:szCs w:val="28"/>
        </w:rPr>
        <w:t>15销售发票</w:t>
      </w:r>
    </w:p>
    <w:p>
      <w:pPr>
        <w:pStyle w:val="5"/>
        <w:rPr>
          <w:color w:val="auto"/>
        </w:rPr>
      </w:pPr>
      <w:r>
        <w:rPr>
          <w:rFonts w:hint="eastAsia"/>
          <w:color w:val="auto"/>
          <w:lang w:val="en-US" w:eastAsia="zh-CN"/>
        </w:rPr>
        <w:t>A.</w:t>
      </w:r>
      <w:r>
        <w:rPr>
          <w:color w:val="auto"/>
        </w:rPr>
        <w:t>1.</w:t>
      </w:r>
      <w:r>
        <w:rPr>
          <w:rFonts w:hint="eastAsia"/>
          <w:color w:val="auto"/>
          <w:lang w:val="en-US" w:eastAsia="zh-CN"/>
        </w:rPr>
        <w:t>4</w:t>
      </w:r>
      <w:r>
        <w:rPr>
          <w:color w:val="auto"/>
        </w:rPr>
        <w:t>.2</w:t>
      </w:r>
      <w:r>
        <w:rPr>
          <w:rFonts w:hint="eastAsia"/>
          <w:color w:val="auto"/>
        </w:rPr>
        <w:t>元素清单及属性</w:t>
      </w:r>
    </w:p>
    <w:tbl>
      <w:tblPr>
        <w:tblStyle w:val="24"/>
        <w:tblW w:w="8046" w:type="dxa"/>
        <w:tblInd w:w="0" w:type="dxa"/>
        <w:tblLayout w:type="fixed"/>
        <w:tblCellMar>
          <w:top w:w="0" w:type="dxa"/>
          <w:left w:w="108" w:type="dxa"/>
          <w:bottom w:w="0" w:type="dxa"/>
          <w:right w:w="108" w:type="dxa"/>
        </w:tblCellMar>
      </w:tblPr>
      <w:tblGrid>
        <w:gridCol w:w="517"/>
        <w:gridCol w:w="1052"/>
        <w:gridCol w:w="1416"/>
        <w:gridCol w:w="1826"/>
        <w:gridCol w:w="985"/>
        <w:gridCol w:w="1125"/>
        <w:gridCol w:w="1125"/>
      </w:tblGrid>
      <w:tr>
        <w:tblPrEx>
          <w:tblCellMar>
            <w:top w:w="0" w:type="dxa"/>
            <w:left w:w="108" w:type="dxa"/>
            <w:bottom w:w="0" w:type="dxa"/>
            <w:right w:w="108" w:type="dxa"/>
          </w:tblCellMar>
        </w:tblPrEx>
        <w:trPr>
          <w:trHeight w:val="780" w:hRule="atLeast"/>
        </w:trPr>
        <w:tc>
          <w:tcPr>
            <w:tcW w:w="51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编号</w:t>
            </w:r>
          </w:p>
        </w:tc>
        <w:tc>
          <w:tcPr>
            <w:tcW w:w="1052"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子模块名</w:t>
            </w:r>
          </w:p>
        </w:tc>
        <w:tc>
          <w:tcPr>
            <w:tcW w:w="1416"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元素标识符</w:t>
            </w:r>
          </w:p>
        </w:tc>
        <w:tc>
          <w:tcPr>
            <w:tcW w:w="1826"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元素名称</w:t>
            </w:r>
          </w:p>
        </w:tc>
        <w:tc>
          <w:tcPr>
            <w:tcW w:w="985"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级别</w:t>
            </w:r>
          </w:p>
        </w:tc>
        <w:tc>
          <w:tcPr>
            <w:tcW w:w="1125"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是否虚元素</w:t>
            </w:r>
          </w:p>
        </w:tc>
        <w:tc>
          <w:tcPr>
            <w:tcW w:w="1125" w:type="dxa"/>
            <w:tcBorders>
              <w:top w:val="single" w:color="auto" w:sz="4" w:space="0"/>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是否必须</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入库单</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入库单号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入库单据类型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入库日期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库存组织编码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库存组织名称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010</w:t>
            </w:r>
            <w:r>
              <w:rPr>
                <w:rFonts w:ascii="仿宋" w:hAnsi="仿宋" w:eastAsia="仿宋" w:cs="宋体"/>
                <w:color w:val="auto"/>
                <w:sz w:val="20"/>
                <w:szCs w:val="20"/>
              </w:rPr>
              <w:t>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010</w:t>
            </w:r>
            <w:r>
              <w:rPr>
                <w:rFonts w:ascii="仿宋" w:hAnsi="仿宋" w:eastAsia="仿宋" w:cs="宋体"/>
                <w:color w:val="auto"/>
                <w:sz w:val="20"/>
                <w:szCs w:val="20"/>
              </w:rPr>
              <w:t>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单据状态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010</w:t>
            </w:r>
            <w:r>
              <w:rPr>
                <w:rFonts w:ascii="仿宋" w:hAnsi="仿宋" w:eastAsia="仿宋" w:cs="宋体"/>
                <w:color w:val="auto"/>
                <w:sz w:val="20"/>
                <w:szCs w:val="20"/>
              </w:rPr>
              <w:t>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w:t>
            </w:r>
            <w:r>
              <w:rPr>
                <w:rFonts w:ascii="仿宋" w:hAnsi="仿宋" w:eastAsia="仿宋" w:cs="宋体"/>
                <w:color w:val="auto"/>
                <w:sz w:val="20"/>
                <w:szCs w:val="20"/>
              </w:rPr>
              <w:t>08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w:t>
            </w:r>
            <w:r>
              <w:rPr>
                <w:rFonts w:ascii="仿宋" w:hAnsi="仿宋" w:eastAsia="仿宋" w:cs="宋体"/>
                <w:color w:val="auto"/>
                <w:sz w:val="20"/>
                <w:szCs w:val="20"/>
              </w:rPr>
              <w:t>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011</w:t>
            </w:r>
            <w:r>
              <w:rPr>
                <w:rFonts w:ascii="仿宋" w:hAnsi="仿宋" w:eastAsia="仿宋" w:cs="宋体"/>
                <w:color w:val="auto"/>
                <w:sz w:val="20"/>
                <w:szCs w:val="20"/>
              </w:rPr>
              <w:t>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签字人编码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011</w:t>
            </w:r>
            <w:r>
              <w:rPr>
                <w:rFonts w:ascii="仿宋" w:hAnsi="仿宋" w:eastAsia="仿宋" w:cs="宋体"/>
                <w:color w:val="auto"/>
                <w:sz w:val="20"/>
                <w:szCs w:val="20"/>
              </w:rPr>
              <w:t>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签字人名称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011</w:t>
            </w:r>
            <w:r>
              <w:rPr>
                <w:rFonts w:ascii="仿宋" w:hAnsi="仿宋" w:eastAsia="仿宋" w:cs="宋体"/>
                <w:color w:val="auto"/>
                <w:sz w:val="20"/>
                <w:szCs w:val="20"/>
              </w:rPr>
              <w:t>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签字日期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011</w:t>
            </w:r>
            <w:r>
              <w:rPr>
                <w:rFonts w:ascii="仿宋" w:hAnsi="仿宋" w:eastAsia="仿宋" w:cs="宋体"/>
                <w:color w:val="auto"/>
                <w:sz w:val="20"/>
                <w:szCs w:val="20"/>
              </w:rPr>
              <w:t>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011</w:t>
            </w:r>
            <w:r>
              <w:rPr>
                <w:rFonts w:ascii="仿宋" w:hAnsi="仿宋" w:eastAsia="仿宋" w:cs="宋体"/>
                <w:color w:val="auto"/>
                <w:sz w:val="20"/>
                <w:szCs w:val="20"/>
              </w:rPr>
              <w:t>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011</w:t>
            </w:r>
            <w:r>
              <w:rPr>
                <w:rFonts w:ascii="仿宋" w:hAnsi="仿宋" w:eastAsia="仿宋" w:cs="宋体"/>
                <w:color w:val="auto"/>
                <w:sz w:val="20"/>
                <w:szCs w:val="20"/>
              </w:rPr>
              <w:t>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w:t>
            </w:r>
            <w:r>
              <w:rPr>
                <w:rFonts w:ascii="仿宋" w:hAnsi="仿宋" w:eastAsia="仿宋" w:cs="宋体"/>
                <w:color w:val="auto"/>
                <w:sz w:val="20"/>
                <w:szCs w:val="20"/>
              </w:rPr>
              <w:t>16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入库单明细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w:t>
            </w:r>
            <w:r>
              <w:rPr>
                <w:rFonts w:ascii="仿宋" w:hAnsi="仿宋" w:eastAsia="仿宋" w:cs="宋体"/>
                <w:color w:val="auto"/>
                <w:sz w:val="20"/>
                <w:szCs w:val="20"/>
              </w:rPr>
              <w:t>17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w:t>
            </w:r>
            <w:r>
              <w:rPr>
                <w:rFonts w:ascii="仿宋" w:hAnsi="仿宋" w:eastAsia="仿宋" w:cs="宋体"/>
                <w:color w:val="auto"/>
                <w:sz w:val="20"/>
                <w:szCs w:val="20"/>
              </w:rPr>
              <w:t>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成本组织编码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w:t>
            </w:r>
            <w:r>
              <w:rPr>
                <w:rFonts w:ascii="仿宋" w:hAnsi="仿宋" w:eastAsia="仿宋" w:cs="宋体"/>
                <w:color w:val="auto"/>
                <w:sz w:val="20"/>
                <w:szCs w:val="20"/>
              </w:rPr>
              <w:t>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成本组织名称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w:t>
            </w:r>
            <w:r>
              <w:rPr>
                <w:rFonts w:ascii="仿宋" w:hAnsi="仿宋" w:eastAsia="仿宋" w:cs="宋体"/>
                <w:color w:val="auto"/>
                <w:sz w:val="20"/>
                <w:szCs w:val="20"/>
              </w:rPr>
              <w:t>20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主计量单位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w:t>
            </w:r>
            <w:r>
              <w:rPr>
                <w:rFonts w:ascii="仿宋" w:hAnsi="仿宋" w:eastAsia="仿宋" w:cs="宋体"/>
                <w:color w:val="auto"/>
                <w:sz w:val="20"/>
                <w:szCs w:val="20"/>
              </w:rPr>
              <w:t>21</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入库主数量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w:t>
            </w:r>
            <w:r>
              <w:rPr>
                <w:rFonts w:ascii="仿宋" w:hAnsi="仿宋" w:eastAsia="仿宋" w:cs="宋体"/>
                <w:color w:val="auto"/>
                <w:sz w:val="20"/>
                <w:szCs w:val="20"/>
              </w:rPr>
              <w:t>22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单位成本</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w:t>
            </w:r>
            <w:r>
              <w:rPr>
                <w:rFonts w:ascii="仿宋" w:hAnsi="仿宋" w:eastAsia="仿宋" w:cs="宋体"/>
                <w:color w:val="auto"/>
                <w:sz w:val="20"/>
                <w:szCs w:val="20"/>
              </w:rPr>
              <w:t>23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总成本</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01</w:t>
            </w:r>
            <w:r>
              <w:rPr>
                <w:rFonts w:ascii="仿宋" w:hAnsi="仿宋" w:eastAsia="仿宋" w:cs="宋体"/>
                <w:color w:val="auto"/>
                <w:sz w:val="20"/>
                <w:szCs w:val="20"/>
              </w:rPr>
              <w:t>24</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仓库编码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010502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出库单</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出库单号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出库单据类型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出库日期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库存组织编码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库存组织名称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05</w:t>
            </w:r>
            <w:r>
              <w:rPr>
                <w:rFonts w:hint="eastAsia" w:ascii="仿宋" w:hAnsi="仿宋" w:eastAsia="仿宋" w:cs="宋体"/>
                <w:color w:val="auto"/>
                <w:sz w:val="20"/>
                <w:szCs w:val="20"/>
              </w:rPr>
              <w:t>0</w:t>
            </w:r>
            <w:r>
              <w:rPr>
                <w:rFonts w:ascii="仿宋" w:hAnsi="仿宋" w:eastAsia="仿宋" w:cs="宋体"/>
                <w:color w:val="auto"/>
                <w:sz w:val="20"/>
                <w:szCs w:val="20"/>
              </w:rPr>
              <w:t>1</w:t>
            </w:r>
            <w:r>
              <w:rPr>
                <w:rFonts w:hint="eastAsia" w:ascii="仿宋" w:hAnsi="仿宋" w:eastAsia="仿宋" w:cs="宋体"/>
                <w:color w:val="auto"/>
                <w:sz w:val="20"/>
                <w:szCs w:val="20"/>
              </w:rPr>
              <w:t>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0206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单据状态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020</w:t>
            </w:r>
            <w:r>
              <w:rPr>
                <w:rFonts w:ascii="仿宋" w:hAnsi="仿宋" w:eastAsia="仿宋" w:cs="宋体"/>
                <w:color w:val="auto"/>
                <w:sz w:val="20"/>
                <w:szCs w:val="20"/>
              </w:rPr>
              <w:t>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020</w:t>
            </w:r>
            <w:r>
              <w:rPr>
                <w:rFonts w:ascii="仿宋" w:hAnsi="仿宋" w:eastAsia="仿宋" w:cs="宋体"/>
                <w:color w:val="auto"/>
                <w:sz w:val="20"/>
                <w:szCs w:val="20"/>
              </w:rPr>
              <w:t>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w:t>
            </w:r>
            <w:r>
              <w:rPr>
                <w:rFonts w:ascii="仿宋" w:hAnsi="仿宋" w:eastAsia="仿宋" w:cs="宋体"/>
                <w:color w:val="auto"/>
                <w:sz w:val="20"/>
                <w:szCs w:val="20"/>
              </w:rPr>
              <w:t>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　</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021</w:t>
            </w:r>
            <w:r>
              <w:rPr>
                <w:rFonts w:ascii="仿宋" w:hAnsi="仿宋" w:eastAsia="仿宋" w:cs="宋体"/>
                <w:color w:val="auto"/>
                <w:sz w:val="20"/>
                <w:szCs w:val="20"/>
              </w:rPr>
              <w:t>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签字人编码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021</w:t>
            </w:r>
            <w:r>
              <w:rPr>
                <w:rFonts w:ascii="仿宋" w:hAnsi="仿宋" w:eastAsia="仿宋" w:cs="宋体"/>
                <w:color w:val="auto"/>
                <w:sz w:val="20"/>
                <w:szCs w:val="20"/>
              </w:rPr>
              <w:t>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签字人名称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021</w:t>
            </w:r>
            <w:r>
              <w:rPr>
                <w:rFonts w:ascii="仿宋" w:hAnsi="仿宋" w:eastAsia="仿宋" w:cs="宋体"/>
                <w:color w:val="auto"/>
                <w:sz w:val="20"/>
                <w:szCs w:val="20"/>
              </w:rPr>
              <w:t>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签字日期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021</w:t>
            </w:r>
            <w:r>
              <w:rPr>
                <w:rFonts w:ascii="仿宋" w:hAnsi="仿宋" w:eastAsia="仿宋" w:cs="宋体"/>
                <w:color w:val="auto"/>
                <w:sz w:val="20"/>
                <w:szCs w:val="20"/>
              </w:rPr>
              <w:t>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021</w:t>
            </w:r>
            <w:r>
              <w:rPr>
                <w:rFonts w:ascii="仿宋" w:hAnsi="仿宋" w:eastAsia="仿宋" w:cs="宋体"/>
                <w:color w:val="auto"/>
                <w:sz w:val="20"/>
                <w:szCs w:val="20"/>
              </w:rPr>
              <w:t>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021</w:t>
            </w:r>
            <w:r>
              <w:rPr>
                <w:rFonts w:ascii="仿宋" w:hAnsi="仿宋" w:eastAsia="仿宋" w:cs="宋体"/>
                <w:color w:val="auto"/>
                <w:sz w:val="20"/>
                <w:szCs w:val="20"/>
              </w:rPr>
              <w:t>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w:t>
            </w:r>
            <w:r>
              <w:rPr>
                <w:rFonts w:ascii="仿宋" w:hAnsi="仿宋" w:eastAsia="仿宋" w:cs="宋体"/>
                <w:color w:val="auto"/>
                <w:sz w:val="20"/>
                <w:szCs w:val="20"/>
              </w:rPr>
              <w:t>16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出库单明细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w:t>
            </w:r>
            <w:r>
              <w:rPr>
                <w:rFonts w:ascii="仿宋" w:hAnsi="仿宋" w:eastAsia="仿宋" w:cs="宋体"/>
                <w:color w:val="auto"/>
                <w:sz w:val="20"/>
                <w:szCs w:val="20"/>
              </w:rPr>
              <w:t>17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w:t>
            </w:r>
            <w:r>
              <w:rPr>
                <w:rFonts w:ascii="仿宋" w:hAnsi="仿宋" w:eastAsia="仿宋" w:cs="宋体"/>
                <w:color w:val="auto"/>
                <w:sz w:val="20"/>
                <w:szCs w:val="20"/>
              </w:rPr>
              <w:t>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成本组织编码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w:t>
            </w:r>
            <w:r>
              <w:rPr>
                <w:rFonts w:ascii="仿宋" w:hAnsi="仿宋" w:eastAsia="仿宋" w:cs="宋体"/>
                <w:color w:val="auto"/>
                <w:sz w:val="20"/>
                <w:szCs w:val="20"/>
              </w:rPr>
              <w:t>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成本组织名称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022</w:t>
            </w:r>
            <w:r>
              <w:rPr>
                <w:rFonts w:ascii="仿宋" w:hAnsi="仿宋" w:eastAsia="仿宋" w:cs="宋体"/>
                <w:color w:val="auto"/>
                <w:sz w:val="20"/>
                <w:szCs w:val="20"/>
              </w:rPr>
              <w:t>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主计量单位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022</w:t>
            </w:r>
            <w:r>
              <w:rPr>
                <w:rFonts w:ascii="仿宋" w:hAnsi="仿宋" w:eastAsia="仿宋" w:cs="宋体"/>
                <w:color w:val="auto"/>
                <w:sz w:val="20"/>
                <w:szCs w:val="20"/>
              </w:rPr>
              <w:t>1</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出库主数量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w:t>
            </w:r>
            <w:r>
              <w:rPr>
                <w:rFonts w:ascii="仿宋" w:hAnsi="仿宋" w:eastAsia="仿宋" w:cs="宋体"/>
                <w:color w:val="auto"/>
                <w:sz w:val="20"/>
                <w:szCs w:val="20"/>
              </w:rPr>
              <w:t>22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单位成本</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w:t>
            </w:r>
            <w:r>
              <w:rPr>
                <w:rFonts w:ascii="仿宋" w:hAnsi="仿宋" w:eastAsia="仿宋" w:cs="宋体"/>
                <w:color w:val="auto"/>
                <w:sz w:val="20"/>
                <w:szCs w:val="20"/>
              </w:rPr>
              <w:t>23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总成本</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02</w:t>
            </w:r>
            <w:r>
              <w:rPr>
                <w:rFonts w:ascii="仿宋" w:hAnsi="仿宋" w:eastAsia="仿宋" w:cs="宋体"/>
                <w:color w:val="auto"/>
                <w:sz w:val="20"/>
                <w:szCs w:val="20"/>
              </w:rPr>
              <w:t>24</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仓库编码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010502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盘点单</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盘点单号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盘点单类型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盘点日期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库存组织编码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库存组织名称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030</w:t>
            </w:r>
            <w:r>
              <w:rPr>
                <w:rFonts w:ascii="仿宋" w:hAnsi="仿宋" w:eastAsia="仿宋" w:cs="宋体"/>
                <w:color w:val="auto"/>
                <w:sz w:val="20"/>
                <w:szCs w:val="20"/>
              </w:rPr>
              <w:t>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030</w:t>
            </w:r>
            <w:r>
              <w:rPr>
                <w:rFonts w:ascii="仿宋" w:hAnsi="仿宋" w:eastAsia="仿宋" w:cs="宋体"/>
                <w:color w:val="auto"/>
                <w:sz w:val="20"/>
                <w:szCs w:val="20"/>
              </w:rPr>
              <w:t>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030</w:t>
            </w:r>
            <w:r>
              <w:rPr>
                <w:rFonts w:ascii="仿宋" w:hAnsi="仿宋" w:eastAsia="仿宋" w:cs="宋体"/>
                <w:color w:val="auto"/>
                <w:sz w:val="20"/>
                <w:szCs w:val="20"/>
              </w:rPr>
              <w:t>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w:t>
            </w:r>
            <w:r>
              <w:rPr>
                <w:rFonts w:ascii="仿宋" w:hAnsi="仿宋" w:eastAsia="仿宋" w:cs="宋体"/>
                <w:color w:val="auto"/>
                <w:sz w:val="20"/>
                <w:szCs w:val="20"/>
              </w:rPr>
              <w:t>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031</w:t>
            </w:r>
            <w:r>
              <w:rPr>
                <w:rFonts w:ascii="仿宋" w:hAnsi="仿宋" w:eastAsia="仿宋" w:cs="宋体"/>
                <w:color w:val="auto"/>
                <w:sz w:val="20"/>
                <w:szCs w:val="20"/>
              </w:rPr>
              <w:t>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031</w:t>
            </w:r>
            <w:r>
              <w:rPr>
                <w:rFonts w:ascii="仿宋" w:hAnsi="仿宋" w:eastAsia="仿宋" w:cs="宋体"/>
                <w:color w:val="auto"/>
                <w:sz w:val="20"/>
                <w:szCs w:val="20"/>
              </w:rPr>
              <w:t>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031</w:t>
            </w:r>
            <w:r>
              <w:rPr>
                <w:rFonts w:ascii="仿宋" w:hAnsi="仿宋" w:eastAsia="仿宋" w:cs="宋体"/>
                <w:color w:val="auto"/>
                <w:sz w:val="20"/>
                <w:szCs w:val="20"/>
              </w:rPr>
              <w:t>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031</w:t>
            </w:r>
            <w:r>
              <w:rPr>
                <w:rFonts w:ascii="仿宋" w:hAnsi="仿宋" w:eastAsia="仿宋" w:cs="宋体"/>
                <w:color w:val="auto"/>
                <w:sz w:val="20"/>
                <w:szCs w:val="20"/>
              </w:rPr>
              <w:t>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031</w:t>
            </w:r>
            <w:r>
              <w:rPr>
                <w:rFonts w:ascii="仿宋" w:hAnsi="仿宋" w:eastAsia="仿宋" w:cs="宋体"/>
                <w:color w:val="auto"/>
                <w:sz w:val="20"/>
                <w:szCs w:val="20"/>
              </w:rPr>
              <w:t>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031</w:t>
            </w:r>
            <w:r>
              <w:rPr>
                <w:rFonts w:ascii="仿宋" w:hAnsi="仿宋" w:eastAsia="仿宋" w:cs="宋体"/>
                <w:color w:val="auto"/>
                <w:sz w:val="20"/>
                <w:szCs w:val="20"/>
              </w:rPr>
              <w:t>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盘点单明细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w:t>
            </w:r>
            <w:r>
              <w:rPr>
                <w:rFonts w:ascii="仿宋" w:hAnsi="仿宋" w:eastAsia="仿宋" w:cs="宋体"/>
                <w:color w:val="auto"/>
                <w:sz w:val="20"/>
                <w:szCs w:val="20"/>
              </w:rPr>
              <w:t>16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w:t>
            </w:r>
            <w:r>
              <w:rPr>
                <w:rFonts w:ascii="仿宋" w:hAnsi="仿宋" w:eastAsia="仿宋" w:cs="宋体"/>
                <w:color w:val="auto"/>
                <w:sz w:val="20"/>
                <w:szCs w:val="20"/>
              </w:rPr>
              <w:t>17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仓库编码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w:t>
            </w:r>
            <w:r>
              <w:rPr>
                <w:rFonts w:ascii="仿宋" w:hAnsi="仿宋" w:eastAsia="仿宋" w:cs="宋体"/>
                <w:color w:val="auto"/>
                <w:sz w:val="20"/>
                <w:szCs w:val="20"/>
              </w:rPr>
              <w:t>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账面数量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03</w:t>
            </w:r>
            <w:r>
              <w:rPr>
                <w:rFonts w:ascii="仿宋" w:hAnsi="仿宋" w:eastAsia="仿宋" w:cs="宋体"/>
                <w:color w:val="auto"/>
                <w:sz w:val="20"/>
                <w:szCs w:val="20"/>
              </w:rPr>
              <w:t>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盘点数量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4</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出入库调整单</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出入库调整单号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成本组织编码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成本组织名称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库存组织编码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库存组织名称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05</w:t>
            </w:r>
            <w:r>
              <w:rPr>
                <w:rFonts w:hint="eastAsia" w:ascii="仿宋" w:hAnsi="仿宋" w:eastAsia="仿宋" w:cs="宋体"/>
                <w:color w:val="auto"/>
                <w:sz w:val="20"/>
                <w:szCs w:val="20"/>
              </w:rPr>
              <w:t>0</w:t>
            </w:r>
            <w:r>
              <w:rPr>
                <w:rFonts w:ascii="仿宋" w:hAnsi="仿宋" w:eastAsia="仿宋" w:cs="宋体"/>
                <w:color w:val="auto"/>
                <w:sz w:val="20"/>
                <w:szCs w:val="20"/>
              </w:rPr>
              <w:t>1</w:t>
            </w:r>
            <w:r>
              <w:rPr>
                <w:rFonts w:hint="eastAsia" w:ascii="仿宋" w:hAnsi="仿宋" w:eastAsia="仿宋" w:cs="宋体"/>
                <w:color w:val="auto"/>
                <w:sz w:val="20"/>
                <w:szCs w:val="20"/>
              </w:rPr>
              <w:t>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040</w:t>
            </w:r>
            <w:r>
              <w:rPr>
                <w:rFonts w:ascii="仿宋" w:hAnsi="仿宋" w:eastAsia="仿宋" w:cs="宋体"/>
                <w:color w:val="auto"/>
                <w:sz w:val="20"/>
                <w:szCs w:val="20"/>
              </w:rPr>
              <w:t>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出入库类型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040</w:t>
            </w:r>
            <w:r>
              <w:rPr>
                <w:rFonts w:ascii="仿宋" w:hAnsi="仿宋" w:eastAsia="仿宋" w:cs="宋体"/>
                <w:color w:val="auto"/>
                <w:sz w:val="20"/>
                <w:szCs w:val="20"/>
              </w:rPr>
              <w:t>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040</w:t>
            </w:r>
            <w:r>
              <w:rPr>
                <w:rFonts w:ascii="仿宋" w:hAnsi="仿宋" w:eastAsia="仿宋" w:cs="宋体"/>
                <w:color w:val="auto"/>
                <w:sz w:val="20"/>
                <w:szCs w:val="20"/>
              </w:rPr>
              <w:t>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w:t>
            </w:r>
            <w:r>
              <w:rPr>
                <w:rFonts w:ascii="仿宋" w:hAnsi="仿宋" w:eastAsia="仿宋" w:cs="宋体"/>
                <w:color w:val="auto"/>
                <w:sz w:val="20"/>
                <w:szCs w:val="20"/>
              </w:rPr>
              <w:t>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041</w:t>
            </w:r>
            <w:r>
              <w:rPr>
                <w:rFonts w:ascii="仿宋" w:hAnsi="仿宋" w:eastAsia="仿宋" w:cs="宋体"/>
                <w:color w:val="auto"/>
                <w:sz w:val="20"/>
                <w:szCs w:val="20"/>
              </w:rPr>
              <w:t>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041</w:t>
            </w:r>
            <w:r>
              <w:rPr>
                <w:rFonts w:ascii="仿宋" w:hAnsi="仿宋" w:eastAsia="仿宋" w:cs="宋体"/>
                <w:color w:val="auto"/>
                <w:sz w:val="20"/>
                <w:szCs w:val="20"/>
              </w:rPr>
              <w:t>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041</w:t>
            </w:r>
            <w:r>
              <w:rPr>
                <w:rFonts w:ascii="仿宋" w:hAnsi="仿宋" w:eastAsia="仿宋" w:cs="宋体"/>
                <w:color w:val="auto"/>
                <w:sz w:val="20"/>
                <w:szCs w:val="20"/>
              </w:rPr>
              <w:t>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041</w:t>
            </w:r>
            <w:r>
              <w:rPr>
                <w:rFonts w:ascii="仿宋" w:hAnsi="仿宋" w:eastAsia="仿宋" w:cs="宋体"/>
                <w:color w:val="auto"/>
                <w:sz w:val="20"/>
                <w:szCs w:val="20"/>
              </w:rPr>
              <w:t>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041</w:t>
            </w:r>
            <w:r>
              <w:rPr>
                <w:rFonts w:ascii="仿宋" w:hAnsi="仿宋" w:eastAsia="仿宋" w:cs="宋体"/>
                <w:color w:val="auto"/>
                <w:sz w:val="20"/>
                <w:szCs w:val="20"/>
              </w:rPr>
              <w:t>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041</w:t>
            </w:r>
            <w:r>
              <w:rPr>
                <w:rFonts w:ascii="仿宋" w:hAnsi="仿宋" w:eastAsia="仿宋" w:cs="宋体"/>
                <w:color w:val="auto"/>
                <w:sz w:val="20"/>
                <w:szCs w:val="20"/>
              </w:rPr>
              <w:t>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w:t>
            </w:r>
            <w:r>
              <w:rPr>
                <w:rFonts w:ascii="仿宋" w:hAnsi="仿宋" w:eastAsia="仿宋" w:cs="宋体"/>
                <w:color w:val="auto"/>
                <w:sz w:val="20"/>
                <w:szCs w:val="20"/>
              </w:rPr>
              <w:t>16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出入库调整单明细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w:t>
            </w:r>
            <w:r>
              <w:rPr>
                <w:rFonts w:ascii="仿宋" w:hAnsi="仿宋" w:eastAsia="仿宋" w:cs="宋体"/>
                <w:color w:val="auto"/>
                <w:sz w:val="20"/>
                <w:szCs w:val="20"/>
              </w:rPr>
              <w:t>17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w:t>
            </w:r>
            <w:r>
              <w:rPr>
                <w:rFonts w:ascii="仿宋" w:hAnsi="仿宋" w:eastAsia="仿宋" w:cs="宋体"/>
                <w:color w:val="auto"/>
                <w:sz w:val="20"/>
                <w:szCs w:val="20"/>
              </w:rPr>
              <w:t>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计价方式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w:t>
            </w:r>
            <w:r>
              <w:rPr>
                <w:rFonts w:ascii="仿宋" w:hAnsi="仿宋" w:eastAsia="仿宋" w:cs="宋体"/>
                <w:color w:val="auto"/>
                <w:sz w:val="20"/>
                <w:szCs w:val="20"/>
              </w:rPr>
              <w:t>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调整金额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04</w:t>
            </w:r>
            <w:r>
              <w:rPr>
                <w:rFonts w:ascii="仿宋" w:hAnsi="仿宋" w:eastAsia="仿宋" w:cs="宋体"/>
                <w:color w:val="auto"/>
                <w:sz w:val="20"/>
                <w:szCs w:val="20"/>
              </w:rPr>
              <w:t>20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调整原因</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010502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5</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存货明细账</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成本组织编码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成本组织名称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w:t>
            </w:r>
            <w:r>
              <w:rPr>
                <w:rFonts w:ascii="仿宋" w:hAnsi="仿宋" w:eastAsia="仿宋" w:cs="宋体"/>
                <w:color w:val="auto"/>
                <w:sz w:val="20"/>
                <w:szCs w:val="20"/>
              </w:rPr>
              <w:t>1</w:t>
            </w:r>
            <w:r>
              <w:rPr>
                <w:rFonts w:hint="eastAsia" w:ascii="仿宋" w:hAnsi="仿宋" w:eastAsia="仿宋" w:cs="宋体"/>
                <w:color w:val="auto"/>
                <w:sz w:val="20"/>
                <w:szCs w:val="20"/>
              </w:rPr>
              <w:t>0</w:t>
            </w:r>
            <w:r>
              <w:rPr>
                <w:rFonts w:ascii="仿宋" w:hAnsi="仿宋" w:eastAsia="仿宋" w:cs="宋体"/>
                <w:color w:val="auto"/>
                <w:sz w:val="20"/>
                <w:szCs w:val="20"/>
              </w:rPr>
              <w:t>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会计期间号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1202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1203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w:t>
            </w:r>
            <w:r>
              <w:rPr>
                <w:rFonts w:ascii="仿宋" w:hAnsi="仿宋" w:eastAsia="仿宋" w:cs="宋体"/>
                <w:color w:val="auto"/>
                <w:sz w:val="20"/>
                <w:szCs w:val="20"/>
              </w:rPr>
              <w:t>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主计量单位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40504</w:t>
            </w:r>
          </w:p>
        </w:tc>
        <w:tc>
          <w:tcPr>
            <w:tcW w:w="1826" w:type="dxa"/>
            <w:tcBorders>
              <w:top w:val="nil"/>
              <w:left w:val="nil"/>
              <w:bottom w:val="single" w:color="auto" w:sz="4" w:space="0"/>
              <w:right w:val="single" w:color="auto" w:sz="4" w:space="0"/>
            </w:tcBorders>
            <w:shd w:val="clear" w:color="000000" w:fill="FFFFFF"/>
            <w:vAlign w:val="center"/>
          </w:tcPr>
          <w:p>
            <w:pPr>
              <w:rPr>
                <w:rFonts w:hint="eastAsia" w:ascii="仿宋" w:hAnsi="仿宋" w:eastAsia="仿宋" w:cs="宋体"/>
                <w:color w:val="auto"/>
                <w:sz w:val="20"/>
                <w:szCs w:val="20"/>
              </w:rPr>
            </w:pPr>
            <w:r>
              <w:rPr>
                <w:rFonts w:hint="eastAsia" w:ascii="仿宋" w:hAnsi="仿宋" w:eastAsia="仿宋" w:cs="宋体"/>
                <w:color w:val="auto"/>
                <w:sz w:val="20"/>
                <w:szCs w:val="20"/>
              </w:rPr>
              <w:t>批次号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w:t>
            </w:r>
            <w:r>
              <w:rPr>
                <w:rFonts w:ascii="仿宋" w:hAnsi="仿宋" w:eastAsia="仿宋" w:cs="宋体"/>
                <w:color w:val="auto"/>
                <w:sz w:val="20"/>
                <w:szCs w:val="20"/>
              </w:rPr>
              <w:t>5</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1</w:t>
            </w:r>
            <w:r>
              <w:rPr>
                <w:rFonts w:hint="eastAsia" w:ascii="仿宋" w:hAnsi="仿宋" w:eastAsia="仿宋" w:cs="宋体"/>
                <w:color w:val="auto"/>
                <w:sz w:val="20"/>
                <w:szCs w:val="20"/>
              </w:rPr>
              <w:t>0502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4</w:t>
            </w:r>
            <w:r>
              <w:rPr>
                <w:rFonts w:hint="eastAsia" w:ascii="仿宋" w:hAnsi="仿宋" w:eastAsia="仿宋" w:cs="宋体"/>
                <w:color w:val="auto"/>
                <w:sz w:val="20"/>
                <w:szCs w:val="20"/>
              </w:rPr>
              <w:t>0</w:t>
            </w:r>
            <w:r>
              <w:rPr>
                <w:rFonts w:ascii="仿宋" w:hAnsi="仿宋" w:eastAsia="仿宋" w:cs="宋体"/>
                <w:color w:val="auto"/>
                <w:sz w:val="20"/>
                <w:szCs w:val="20"/>
              </w:rPr>
              <w:t>5</w:t>
            </w:r>
            <w:r>
              <w:rPr>
                <w:rFonts w:hint="eastAsia" w:ascii="仿宋" w:hAnsi="仿宋" w:eastAsia="仿宋" w:cs="宋体"/>
                <w:color w:val="auto"/>
                <w:sz w:val="20"/>
                <w:szCs w:val="20"/>
              </w:rPr>
              <w:t>0</w:t>
            </w:r>
            <w:r>
              <w:rPr>
                <w:rFonts w:ascii="仿宋" w:hAnsi="仿宋" w:eastAsia="仿宋" w:cs="宋体"/>
                <w:color w:val="auto"/>
                <w:sz w:val="20"/>
                <w:szCs w:val="20"/>
              </w:rPr>
              <w:t>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单据类型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04050</w:t>
            </w:r>
            <w:r>
              <w:rPr>
                <w:rFonts w:ascii="仿宋" w:hAnsi="仿宋" w:eastAsia="仿宋" w:cs="宋体"/>
                <w:color w:val="auto"/>
                <w:sz w:val="20"/>
                <w:szCs w:val="20"/>
              </w:rPr>
              <w:t>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单据号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6</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采购申请</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采购申请单号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申请类型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申请日期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040606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040607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040608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040610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单据状态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040611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040612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040613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040614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采购申请明细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040615</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040616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申请组织编码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040617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申请组织名称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采购计量单位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需求日期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040620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申请数量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040621</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批准数量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040622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采购组织编码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040623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采购组织名称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040624</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行状态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7</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采购合同</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采购合同号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采购合同名称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采购合同类型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040706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合同签订日期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040707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合同开始日期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040708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合同结束日期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供应商编码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供应商名称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040710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040711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040712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040713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040714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040715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040716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040717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040718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采购合同明细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040720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采购计量单位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040721</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合同数量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040722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交货日期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040723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040724</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040725</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税率</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040726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040727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040728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行状态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8</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采购订单</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采购订单号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采购订单类型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供应商编码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供应商名称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040505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040806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040807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040808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040810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040811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040812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040813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040814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采购订单明细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040815</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物料描述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040816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采购计量单位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040817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订单数量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交货日期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040820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040821</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税率</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040822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040823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040824</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本币不含税金额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040825</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040826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收货组织编码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040827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收货组织名称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040828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结算财务组织编码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040829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结算财务组织名称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9</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到货单</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到货单号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到货类型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供应商编码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供应商名称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040906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040907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040908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040910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040911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040912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到货单明细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040913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040914</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库存计量单位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040915</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到货数量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040916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到货日期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040917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库存组织编码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040918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库存组织名称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0</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采购发票</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采购发票号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发票类型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发票分类</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发票日期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供应商编码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供应商名称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030524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实物发票号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041006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财务组织编码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041007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财务组织名称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041008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041010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041011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041012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041013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041014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041015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041016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041017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采购发票明细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主计量单位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041020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041021</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041022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041023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税率</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041024</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041025</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税额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041026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041027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本币不含税单价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041028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041029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本币不含税金额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041030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041031</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本币税额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1</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采购结算单</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结算单号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财务组织编码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财务组织名称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本位币编码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结算日期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041106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041107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041108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041110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041111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采购结算单明细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041112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041113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主计量单位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041114</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结算数量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041115</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结算单价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041116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结算金额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041117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收货库存组织编码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收货库存组织名称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成本组织编码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041120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成本组织名称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供应商编码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050603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供应商名称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2</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销售合同</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销售合同号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销售合同名称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销售合同类型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合同签订日期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合同开始日期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041206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合同结束日期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041207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041208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050502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客户编码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050503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客户名称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030524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041210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041211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041212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041213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041214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041215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041216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041217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041218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销售合同明细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041220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销售计量单位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041221</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交货日期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041222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合同数量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041223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041224</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041225</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税率</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041226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041227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3</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销售订单</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销售订单号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销售订单类型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单据日期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041306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销售业务员</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050502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客户编码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050503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客户名称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041307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041308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041310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041311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041312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041313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041314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041315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041316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销售订单明细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041317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销售计量单位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订单数量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041320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041321</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041322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税率</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041323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041324</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041325</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本币不含税金额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041326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041327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交货日期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041328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发货组织编码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041329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发货组织名称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041330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结算财务组织编码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041331</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结算财务组织名称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4</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发货单</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发货单号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物料组织编码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物流组织名称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发货类型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总数量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总重量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041406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总件数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041407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041408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041410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041411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041412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041413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041414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041415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041416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发货单明细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041417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销售计量单位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041419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050502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客户编码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050503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客户名称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1</w:t>
            </w:r>
            <w:r>
              <w:rPr>
                <w:rFonts w:ascii="仿宋" w:hAnsi="仿宋" w:eastAsia="仿宋" w:cs="宋体"/>
                <w:color w:val="auto"/>
                <w:sz w:val="20"/>
                <w:szCs w:val="20"/>
              </w:rPr>
              <w:t>5</w:t>
            </w:r>
          </w:p>
        </w:tc>
        <w:tc>
          <w:tcPr>
            <w:tcW w:w="1052" w:type="dxa"/>
            <w:vMerge w:val="restar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销售发票</w:t>
            </w: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销售发票号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销售发票类型</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开票组织编码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041504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开票组织名称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041505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开票日期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050502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客户编码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050503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客户名称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050510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客户税号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050701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币种编码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010523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汇率</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041506</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 xml:space="preserve">制单人编码 </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041507</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041508</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制单日期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041509</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041510</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041511</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审批日期</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041512</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041513</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创建人名称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041514</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创建时间</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041515</w:t>
            </w:r>
          </w:p>
        </w:tc>
        <w:tc>
          <w:tcPr>
            <w:tcW w:w="1826" w:type="dxa"/>
            <w:tcBorders>
              <w:top w:val="nil"/>
              <w:left w:val="nil"/>
              <w:bottom w:val="single" w:color="auto" w:sz="4" w:space="0"/>
              <w:right w:val="single" w:color="auto" w:sz="4" w:space="0"/>
            </w:tcBorders>
            <w:shd w:val="clear" w:color="000000" w:fill="FFFFFF"/>
            <w:vAlign w:val="center"/>
          </w:tcPr>
          <w:p>
            <w:pPr>
              <w:rPr>
                <w:rFonts w:ascii="仿宋" w:hAnsi="仿宋" w:eastAsia="仿宋" w:cs="宋体"/>
                <w:color w:val="auto"/>
                <w:sz w:val="20"/>
                <w:szCs w:val="20"/>
              </w:rPr>
            </w:pPr>
            <w:r>
              <w:rPr>
                <w:rFonts w:hint="eastAsia" w:ascii="仿宋" w:hAnsi="仿宋" w:eastAsia="仿宋" w:cs="宋体"/>
                <w:color w:val="auto"/>
                <w:sz w:val="20"/>
                <w:szCs w:val="20"/>
              </w:rPr>
              <w:t>销售发票明细</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2</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041516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行号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物料编码</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051203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物料名称</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041517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主计量单位</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041518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数量</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041519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041520</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041521</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税率</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041522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不含税金额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041523</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041524</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税额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041525</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本币不含税单价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041526</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本币含税单价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041527</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本币不含税金额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041528</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本币含税金额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041529</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本币税额</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40" w:hRule="atLeast"/>
        </w:trPr>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052"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s="宋体"/>
                <w:color w:val="auto"/>
                <w:sz w:val="20"/>
                <w:szCs w:val="20"/>
              </w:rPr>
            </w:pPr>
          </w:p>
        </w:tc>
        <w:tc>
          <w:tcPr>
            <w:tcW w:w="1416"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ascii="仿宋" w:hAnsi="仿宋" w:eastAsia="仿宋" w:cs="宋体"/>
                <w:color w:val="auto"/>
                <w:sz w:val="20"/>
                <w:szCs w:val="20"/>
              </w:rPr>
              <w:t>010502</w:t>
            </w:r>
          </w:p>
        </w:tc>
        <w:tc>
          <w:tcPr>
            <w:tcW w:w="1826" w:type="dxa"/>
            <w:tcBorders>
              <w:top w:val="nil"/>
              <w:left w:val="nil"/>
              <w:bottom w:val="single" w:color="auto" w:sz="4" w:space="0"/>
              <w:right w:val="single" w:color="auto" w:sz="4" w:space="0"/>
            </w:tcBorders>
            <w:shd w:val="clear" w:color="000000" w:fill="FFFFFF"/>
            <w:vAlign w:val="center"/>
          </w:tcPr>
          <w:p>
            <w:pPr>
              <w:ind w:firstLine="200" w:firstLineChars="100"/>
              <w:rPr>
                <w:rFonts w:ascii="仿宋" w:hAnsi="仿宋" w:eastAsia="仿宋" w:cs="宋体"/>
                <w:color w:val="auto"/>
                <w:sz w:val="20"/>
                <w:szCs w:val="20"/>
              </w:rPr>
            </w:pPr>
            <w:r>
              <w:rPr>
                <w:rFonts w:hint="eastAsia" w:ascii="仿宋" w:hAnsi="仿宋" w:eastAsia="仿宋" w:cs="宋体"/>
                <w:color w:val="auto"/>
                <w:sz w:val="20"/>
                <w:szCs w:val="20"/>
              </w:rPr>
              <w:t>记账凭证编号</w:t>
            </w:r>
          </w:p>
        </w:tc>
        <w:tc>
          <w:tcPr>
            <w:tcW w:w="98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3</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5" w:type="dxa"/>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w:t>
            </w:r>
          </w:p>
        </w:tc>
      </w:tr>
    </w:tbl>
    <w:p>
      <w:pPr>
        <w:pStyle w:val="5"/>
        <w:rPr>
          <w:color w:val="auto"/>
        </w:rPr>
      </w:pPr>
    </w:p>
    <w:p>
      <w:pPr>
        <w:keepNext/>
        <w:keepLines/>
        <w:numPr>
          <w:ilvl w:val="0"/>
          <w:numId w:val="0"/>
        </w:numPr>
        <w:spacing w:before="260" w:after="260" w:line="415" w:lineRule="auto"/>
        <w:ind w:leftChars="0"/>
        <w:outlineLvl w:val="2"/>
        <w:rPr>
          <w:rFonts w:hint="default" w:ascii="等线" w:hAnsi="等线" w:eastAsia="宋体"/>
          <w:b/>
          <w:bCs/>
          <w:szCs w:val="32"/>
          <w:lang w:val="en"/>
        </w:rPr>
      </w:pPr>
      <w:r>
        <w:rPr>
          <w:rFonts w:hint="eastAsia" w:ascii="等线" w:hAnsi="等线" w:eastAsia="宋体"/>
          <w:b/>
          <w:bCs/>
          <w:szCs w:val="32"/>
          <w:lang w:val="en-US" w:eastAsia="zh-CN"/>
        </w:rPr>
        <w:t>A.</w:t>
      </w:r>
      <w:r>
        <w:rPr>
          <w:rFonts w:hint="default" w:ascii="等线" w:hAnsi="等线" w:eastAsia="宋体"/>
          <w:b/>
          <w:bCs/>
          <w:szCs w:val="32"/>
          <w:lang w:val="en"/>
        </w:rPr>
        <w:t>1.5</w:t>
      </w:r>
      <w:r>
        <w:rPr>
          <w:rFonts w:hint="eastAsia" w:ascii="等线" w:hAnsi="等线" w:eastAsia="宋体"/>
          <w:b/>
          <w:bCs/>
          <w:szCs w:val="32"/>
          <w:lang w:val="en"/>
        </w:rPr>
        <w:t>基础档案模块</w:t>
      </w:r>
    </w:p>
    <w:p>
      <w:pPr>
        <w:pStyle w:val="5"/>
        <w:rPr>
          <w:color w:val="auto"/>
        </w:rPr>
      </w:pPr>
      <w:r>
        <w:rPr>
          <w:rFonts w:hint="eastAsia"/>
          <w:color w:val="auto"/>
          <w:lang w:val="en-US" w:eastAsia="zh-CN"/>
        </w:rPr>
        <w:t>A.</w:t>
      </w:r>
      <w:r>
        <w:rPr>
          <w:color w:val="auto"/>
        </w:rPr>
        <w:t>1.5.1</w:t>
      </w:r>
      <w:r>
        <w:rPr>
          <w:rFonts w:hint="eastAsia"/>
          <w:color w:val="auto"/>
        </w:rPr>
        <w:t>元素清单范围</w:t>
      </w:r>
    </w:p>
    <w:p>
      <w:pPr>
        <w:ind w:firstLine="560" w:firstLineChars="200"/>
        <w:rPr>
          <w:rFonts w:ascii="仿宋" w:hAnsi="仿宋" w:eastAsia="仿宋"/>
          <w:color w:val="auto"/>
          <w:sz w:val="28"/>
          <w:szCs w:val="28"/>
        </w:rPr>
      </w:pPr>
      <w:r>
        <w:rPr>
          <w:rFonts w:hint="eastAsia" w:ascii="仿宋" w:hAnsi="仿宋" w:eastAsia="仿宋"/>
          <w:color w:val="auto"/>
          <w:sz w:val="28"/>
          <w:szCs w:val="28"/>
        </w:rPr>
        <w:t>1会计期间、2编码规则信息、3部门、4职工、5客户基本信息、</w:t>
      </w:r>
      <w:r>
        <w:rPr>
          <w:rFonts w:ascii="仿宋" w:hAnsi="仿宋" w:eastAsia="仿宋"/>
          <w:color w:val="auto"/>
          <w:sz w:val="28"/>
          <w:szCs w:val="28"/>
        </w:rPr>
        <w:t>6</w:t>
      </w:r>
      <w:r>
        <w:rPr>
          <w:rFonts w:hint="eastAsia" w:ascii="仿宋" w:hAnsi="仿宋" w:eastAsia="仿宋"/>
          <w:color w:val="auto"/>
          <w:sz w:val="28"/>
          <w:szCs w:val="28"/>
        </w:rPr>
        <w:t>供应商基本信息、7币种、8结算方式、9记账凭证类型、8.10汇率类型、11用户信息、12 物料信息</w:t>
      </w:r>
    </w:p>
    <w:p>
      <w:pPr>
        <w:pStyle w:val="5"/>
        <w:rPr>
          <w:color w:val="auto"/>
        </w:rPr>
      </w:pPr>
      <w:r>
        <w:rPr>
          <w:rFonts w:hint="eastAsia"/>
          <w:color w:val="auto"/>
          <w:lang w:val="en-US" w:eastAsia="zh-CN"/>
        </w:rPr>
        <w:t>A.</w:t>
      </w:r>
      <w:r>
        <w:rPr>
          <w:color w:val="auto"/>
        </w:rPr>
        <w:t>1.5.2</w:t>
      </w:r>
      <w:r>
        <w:rPr>
          <w:rFonts w:hint="eastAsia"/>
          <w:color w:val="auto"/>
        </w:rPr>
        <w:t>元素清单及属性</w:t>
      </w:r>
    </w:p>
    <w:tbl>
      <w:tblPr>
        <w:tblStyle w:val="24"/>
        <w:tblW w:w="8046" w:type="dxa"/>
        <w:tblInd w:w="0" w:type="dxa"/>
        <w:tblLayout w:type="fixed"/>
        <w:tblCellMar>
          <w:top w:w="0" w:type="dxa"/>
          <w:left w:w="108" w:type="dxa"/>
          <w:bottom w:w="0" w:type="dxa"/>
          <w:right w:w="108" w:type="dxa"/>
        </w:tblCellMar>
      </w:tblPr>
      <w:tblGrid>
        <w:gridCol w:w="500"/>
        <w:gridCol w:w="1026"/>
        <w:gridCol w:w="1417"/>
        <w:gridCol w:w="1843"/>
        <w:gridCol w:w="992"/>
        <w:gridCol w:w="1134"/>
        <w:gridCol w:w="1134"/>
      </w:tblGrid>
      <w:tr>
        <w:tblPrEx>
          <w:tblCellMar>
            <w:top w:w="0" w:type="dxa"/>
            <w:left w:w="108" w:type="dxa"/>
            <w:bottom w:w="0" w:type="dxa"/>
            <w:right w:w="108" w:type="dxa"/>
          </w:tblCellMar>
        </w:tblPrEx>
        <w:trPr>
          <w:trHeight w:val="700" w:hRule="atLeast"/>
        </w:trPr>
        <w:tc>
          <w:tcPr>
            <w:tcW w:w="50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编号</w:t>
            </w:r>
          </w:p>
        </w:tc>
        <w:tc>
          <w:tcPr>
            <w:tcW w:w="1026"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子模块名</w:t>
            </w:r>
          </w:p>
        </w:tc>
        <w:tc>
          <w:tcPr>
            <w:tcW w:w="1417"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业务元素</w:t>
            </w:r>
          </w:p>
        </w:tc>
        <w:tc>
          <w:tcPr>
            <w:tcW w:w="1843"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业务元素名称</w:t>
            </w:r>
          </w:p>
        </w:tc>
        <w:tc>
          <w:tcPr>
            <w:tcW w:w="992"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级别</w:t>
            </w:r>
          </w:p>
        </w:tc>
        <w:tc>
          <w:tcPr>
            <w:tcW w:w="1134"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是否虚元素</w:t>
            </w:r>
          </w:p>
        </w:tc>
        <w:tc>
          <w:tcPr>
            <w:tcW w:w="1134"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是否必须</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1</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会计期间</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050101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会计期间号</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050102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会计期间起始日期</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050103</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会计期间结束日期</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050104</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会计期间状态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编码规则信息</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050201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会计科目编号规则</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050202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现金流量项目编码规则</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部门</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050301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部门编码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050302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部门名称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050303</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上级部门编码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4</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职工</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050401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职工编码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050402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职工姓名</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050403</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证件类别</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050404</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证件号码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050405</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性别</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050406</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部门编码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050407</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出生日期</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050408</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入职日期</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050409</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离职日期</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5</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客户</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所属组织</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客户编码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050503</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客户名称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050506</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客户基本分类</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050529</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创建人编码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050530</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创建人名称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050531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创建时间</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050535</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客户银行账号</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050536</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账号</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050537</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户名</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050538</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开户银行</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050539</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银行类别</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050540</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账户性质</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050545</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客户联系人</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050546</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姓名</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050559</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客户国家税类</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050560</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发货国家</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050561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税类</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6</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供应商</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所属组织</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供应商编码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050603</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供应商名称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050606</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供应商基本分类</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050608</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是否客户</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050609</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供应商类型</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050612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是否散户</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050613</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是否外部检测机构</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050631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创建人编码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050632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创建人名称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050633</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创建时间</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050637</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供应商银行账号</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050638</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账号</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050639</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户名</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050640</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开户银行</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050641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银行类别</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050646</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供应商联系人</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050647</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联系人</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050648</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性别</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050653</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供应商国家税类</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050654</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收货国家</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050655</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lang w:val="en-US" w:eastAsia="zh-CN"/>
              </w:rPr>
              <w:t xml:space="preserve">  </w:t>
            </w:r>
            <w:r>
              <w:rPr>
                <w:rFonts w:hint="eastAsia" w:ascii="仿宋" w:hAnsi="仿宋" w:eastAsia="仿宋" w:cs="宋体"/>
                <w:color w:val="auto"/>
                <w:sz w:val="18"/>
                <w:szCs w:val="18"/>
              </w:rPr>
              <w:t>税类</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3</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7</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币种</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050701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币种编码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050702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币种名称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050703</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iso4217代码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8</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结算方式</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050801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结算方式编码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050802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结算方式名称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9</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记账凭证类型</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050901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记账凭证类型编号</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050902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记账凭证类型名称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10</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汇率类型</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051001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汇率类型编号</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051002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汇率类型名称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11</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用户信息</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051101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用户编码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051102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用户名称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restart"/>
            <w:tcBorders>
              <w:top w:val="nil"/>
              <w:left w:val="single" w:color="auto" w:sz="4" w:space="0"/>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12</w:t>
            </w:r>
          </w:p>
        </w:tc>
        <w:tc>
          <w:tcPr>
            <w:tcW w:w="1026"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物料信息</w:t>
            </w: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051201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组织</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051202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物料编码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051203</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物料名称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051204</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物料分类</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051211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主计量单位</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051221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物料税类</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051240</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创建人编码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051241</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创建人名称</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051242</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创建时间</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051243</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最后修改人编码</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否</w:t>
            </w:r>
          </w:p>
        </w:tc>
      </w:tr>
      <w:tr>
        <w:tblPrEx>
          <w:tblCellMar>
            <w:top w:w="0" w:type="dxa"/>
            <w:left w:w="108" w:type="dxa"/>
            <w:bottom w:w="0" w:type="dxa"/>
            <w:right w:w="108" w:type="dxa"/>
          </w:tblCellMar>
        </w:tblPrEx>
        <w:trPr>
          <w:trHeight w:val="300" w:hRule="atLeast"/>
        </w:trPr>
        <w:tc>
          <w:tcPr>
            <w:tcW w:w="50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0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auto"/>
                <w:sz w:val="18"/>
                <w:szCs w:val="18"/>
              </w:rPr>
            </w:pPr>
          </w:p>
        </w:tc>
        <w:tc>
          <w:tcPr>
            <w:tcW w:w="1417"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051246</w:t>
            </w:r>
          </w:p>
        </w:tc>
        <w:tc>
          <w:tcPr>
            <w:tcW w:w="1843"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辅计量</w:t>
            </w:r>
          </w:p>
        </w:tc>
        <w:tc>
          <w:tcPr>
            <w:tcW w:w="992" w:type="dxa"/>
            <w:tcBorders>
              <w:top w:val="nil"/>
              <w:left w:val="nil"/>
              <w:bottom w:val="single" w:color="auto" w:sz="4" w:space="0"/>
              <w:right w:val="single" w:color="auto" w:sz="4" w:space="0"/>
            </w:tcBorders>
            <w:vAlign w:val="center"/>
          </w:tcPr>
          <w:p>
            <w:pPr>
              <w:jc w:val="right"/>
              <w:rPr>
                <w:rFonts w:ascii="仿宋" w:hAnsi="仿宋" w:eastAsia="仿宋" w:cs="宋体"/>
                <w:color w:val="auto"/>
                <w:sz w:val="18"/>
                <w:szCs w:val="18"/>
              </w:rPr>
            </w:pPr>
            <w:r>
              <w:rPr>
                <w:rFonts w:hint="eastAsia" w:ascii="仿宋" w:hAnsi="仿宋" w:eastAsia="仿宋" w:cs="宋体"/>
                <w:color w:val="auto"/>
                <w:sz w:val="18"/>
                <w:szCs w:val="18"/>
              </w:rPr>
              <w:t>2</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是</w:t>
            </w:r>
          </w:p>
        </w:tc>
        <w:tc>
          <w:tcPr>
            <w:tcW w:w="1134" w:type="dxa"/>
            <w:tcBorders>
              <w:top w:val="nil"/>
              <w:left w:val="nil"/>
              <w:bottom w:val="single" w:color="auto" w:sz="4" w:space="0"/>
              <w:right w:val="single" w:color="auto" w:sz="4" w:space="0"/>
            </w:tcBorders>
            <w:vAlign w:val="center"/>
          </w:tcPr>
          <w:p>
            <w:pPr>
              <w:rPr>
                <w:rFonts w:ascii="仿宋" w:hAnsi="仿宋" w:eastAsia="仿宋" w:cs="宋体"/>
                <w:color w:val="auto"/>
                <w:sz w:val="18"/>
                <w:szCs w:val="18"/>
              </w:rPr>
            </w:pPr>
            <w:r>
              <w:rPr>
                <w:rFonts w:hint="eastAsia" w:ascii="仿宋" w:hAnsi="仿宋" w:eastAsia="仿宋" w:cs="宋体"/>
                <w:color w:val="auto"/>
                <w:sz w:val="18"/>
                <w:szCs w:val="18"/>
              </w:rPr>
              <w:t>－</w:t>
            </w:r>
          </w:p>
        </w:tc>
      </w:tr>
    </w:tbl>
    <w:p>
      <w:pPr>
        <w:keepNext/>
        <w:keepLines/>
        <w:numPr>
          <w:ilvl w:val="0"/>
          <w:numId w:val="0"/>
        </w:numPr>
        <w:spacing w:before="260" w:after="260" w:line="415" w:lineRule="auto"/>
        <w:ind w:leftChars="0"/>
        <w:outlineLvl w:val="1"/>
        <w:rPr>
          <w:rFonts w:hint="default" w:ascii="等线 Light" w:hAnsi="等线 Light" w:eastAsia="宋体"/>
          <w:b/>
          <w:bCs/>
          <w:szCs w:val="32"/>
          <w:lang w:val="en"/>
        </w:rPr>
      </w:pPr>
      <w:r>
        <w:rPr>
          <w:rFonts w:hint="eastAsia" w:ascii="等线 Light" w:hAnsi="等线 Light" w:eastAsia="宋体"/>
          <w:b/>
          <w:bCs/>
          <w:szCs w:val="32"/>
          <w:lang w:val="en-US" w:eastAsia="zh-CN"/>
        </w:rPr>
        <w:t>A.</w:t>
      </w:r>
      <w:r>
        <w:rPr>
          <w:rFonts w:hint="eastAsia" w:ascii="等线 Light" w:hAnsi="等线 Light" w:eastAsia="宋体"/>
          <w:b/>
          <w:bCs/>
          <w:szCs w:val="32"/>
          <w:lang w:val="en"/>
        </w:rPr>
        <w:t>2电子会计档案归档元数据</w:t>
      </w:r>
    </w:p>
    <w:p>
      <w:pPr>
        <w:keepNext/>
        <w:keepLines/>
        <w:numPr>
          <w:ilvl w:val="0"/>
          <w:numId w:val="0"/>
        </w:numPr>
        <w:spacing w:before="260" w:after="260" w:line="415" w:lineRule="auto"/>
        <w:ind w:leftChars="0"/>
        <w:outlineLvl w:val="2"/>
        <w:rPr>
          <w:rFonts w:hint="default" w:ascii="等线" w:hAnsi="等线" w:eastAsia="宋体"/>
          <w:b/>
          <w:bCs/>
          <w:szCs w:val="32"/>
          <w:lang w:val="en"/>
        </w:rPr>
      </w:pPr>
      <w:r>
        <w:rPr>
          <w:rFonts w:hint="eastAsia" w:ascii="等线" w:hAnsi="等线" w:eastAsia="宋体"/>
          <w:b/>
          <w:bCs/>
          <w:szCs w:val="32"/>
          <w:lang w:val="en-US" w:eastAsia="zh-CN"/>
        </w:rPr>
        <w:t>A.</w:t>
      </w:r>
      <w:r>
        <w:rPr>
          <w:rFonts w:hint="default" w:ascii="等线" w:hAnsi="等线" w:eastAsia="宋体"/>
          <w:b/>
          <w:bCs/>
          <w:szCs w:val="32"/>
          <w:lang w:val="en"/>
        </w:rPr>
        <w:t>2.1</w:t>
      </w:r>
      <w:r>
        <w:rPr>
          <w:rFonts w:hint="eastAsia" w:ascii="等线" w:hAnsi="等线" w:eastAsia="宋体"/>
          <w:b/>
          <w:bCs/>
          <w:szCs w:val="32"/>
          <w:lang w:val="en"/>
        </w:rPr>
        <w:t>元素清单范围</w:t>
      </w:r>
    </w:p>
    <w:p>
      <w:pPr>
        <w:ind w:firstLine="560" w:firstLineChars="200"/>
        <w:rPr>
          <w:rFonts w:ascii="仿宋" w:hAnsi="仿宋" w:eastAsia="仿宋"/>
          <w:color w:val="auto"/>
          <w:sz w:val="28"/>
          <w:szCs w:val="28"/>
        </w:rPr>
      </w:pPr>
      <w:r>
        <w:rPr>
          <w:rFonts w:ascii="仿宋" w:hAnsi="仿宋" w:eastAsia="仿宋"/>
          <w:color w:val="auto"/>
          <w:sz w:val="28"/>
          <w:szCs w:val="28"/>
        </w:rPr>
        <w:t>1聚合层次</w:t>
      </w:r>
      <w:r>
        <w:rPr>
          <w:rFonts w:hint="eastAsia" w:ascii="仿宋" w:hAnsi="仿宋" w:eastAsia="仿宋"/>
          <w:color w:val="auto"/>
          <w:sz w:val="28"/>
          <w:szCs w:val="28"/>
        </w:rPr>
        <w:t>、</w:t>
      </w:r>
      <w:r>
        <w:rPr>
          <w:rFonts w:ascii="仿宋" w:hAnsi="仿宋" w:eastAsia="仿宋"/>
          <w:color w:val="auto"/>
          <w:sz w:val="28"/>
          <w:szCs w:val="28"/>
        </w:rPr>
        <w:t>2来源</w:t>
      </w:r>
      <w:r>
        <w:rPr>
          <w:rFonts w:hint="eastAsia" w:ascii="仿宋" w:hAnsi="仿宋" w:eastAsia="仿宋"/>
          <w:color w:val="auto"/>
          <w:sz w:val="28"/>
          <w:szCs w:val="28"/>
        </w:rPr>
        <w:t>、</w:t>
      </w:r>
      <w:r>
        <w:rPr>
          <w:rFonts w:ascii="仿宋" w:hAnsi="仿宋" w:eastAsia="仿宋"/>
          <w:color w:val="auto"/>
          <w:sz w:val="28"/>
          <w:szCs w:val="28"/>
        </w:rPr>
        <w:t>3档号</w:t>
      </w:r>
      <w:r>
        <w:rPr>
          <w:rFonts w:hint="eastAsia" w:ascii="仿宋" w:hAnsi="仿宋" w:eastAsia="仿宋"/>
          <w:color w:val="auto"/>
          <w:sz w:val="28"/>
          <w:szCs w:val="28"/>
        </w:rPr>
        <w:t>、</w:t>
      </w:r>
      <w:r>
        <w:rPr>
          <w:rFonts w:ascii="仿宋" w:hAnsi="仿宋" w:eastAsia="仿宋"/>
          <w:color w:val="auto"/>
          <w:sz w:val="28"/>
          <w:szCs w:val="28"/>
        </w:rPr>
        <w:t>4内容描述</w:t>
      </w:r>
      <w:r>
        <w:rPr>
          <w:rFonts w:hint="eastAsia" w:ascii="仿宋" w:hAnsi="仿宋" w:eastAsia="仿宋"/>
          <w:color w:val="auto"/>
          <w:sz w:val="28"/>
          <w:szCs w:val="28"/>
        </w:rPr>
        <w:t>、</w:t>
      </w:r>
      <w:r>
        <w:rPr>
          <w:rFonts w:ascii="仿宋" w:hAnsi="仿宋" w:eastAsia="仿宋"/>
          <w:color w:val="auto"/>
          <w:sz w:val="28"/>
          <w:szCs w:val="28"/>
        </w:rPr>
        <w:t>5权限管理</w:t>
      </w:r>
      <w:r>
        <w:rPr>
          <w:rFonts w:hint="eastAsia" w:ascii="仿宋" w:hAnsi="仿宋" w:eastAsia="仿宋"/>
          <w:color w:val="auto"/>
          <w:sz w:val="28"/>
          <w:szCs w:val="28"/>
        </w:rPr>
        <w:t>、</w:t>
      </w:r>
      <w:r>
        <w:rPr>
          <w:rFonts w:ascii="仿宋" w:hAnsi="仿宋" w:eastAsia="仿宋"/>
          <w:color w:val="auto"/>
          <w:sz w:val="28"/>
          <w:szCs w:val="28"/>
        </w:rPr>
        <w:t>6业务状态</w:t>
      </w:r>
    </w:p>
    <w:p>
      <w:pPr>
        <w:keepNext/>
        <w:keepLines/>
        <w:numPr>
          <w:ilvl w:val="0"/>
          <w:numId w:val="0"/>
        </w:numPr>
        <w:spacing w:before="260" w:after="260" w:line="415" w:lineRule="auto"/>
        <w:ind w:leftChars="0"/>
        <w:outlineLvl w:val="2"/>
        <w:rPr>
          <w:rFonts w:hint="default" w:ascii="等线" w:hAnsi="等线" w:eastAsia="宋体"/>
          <w:b/>
          <w:bCs/>
          <w:szCs w:val="32"/>
          <w:lang w:val="en"/>
        </w:rPr>
      </w:pPr>
      <w:r>
        <w:rPr>
          <w:rFonts w:hint="eastAsia" w:ascii="等线" w:hAnsi="等线" w:eastAsia="宋体"/>
          <w:b/>
          <w:bCs/>
          <w:szCs w:val="32"/>
          <w:lang w:val="en-US" w:eastAsia="zh-CN"/>
        </w:rPr>
        <w:t>A.</w:t>
      </w:r>
      <w:r>
        <w:rPr>
          <w:rFonts w:hint="default" w:ascii="等线" w:hAnsi="等线" w:eastAsia="宋体"/>
          <w:b/>
          <w:bCs/>
          <w:szCs w:val="32"/>
          <w:lang w:val="en"/>
        </w:rPr>
        <w:t>2.2</w:t>
      </w:r>
      <w:r>
        <w:rPr>
          <w:rFonts w:hint="eastAsia" w:ascii="等线" w:hAnsi="等线" w:eastAsia="宋体"/>
          <w:b/>
          <w:bCs/>
          <w:szCs w:val="32"/>
          <w:lang w:val="en"/>
        </w:rPr>
        <w:t>元素清单及属性</w:t>
      </w:r>
    </w:p>
    <w:tbl>
      <w:tblPr>
        <w:tblStyle w:val="24"/>
        <w:tblW w:w="8046" w:type="dxa"/>
        <w:tblInd w:w="0" w:type="dxa"/>
        <w:tblLayout w:type="fixed"/>
        <w:tblCellMar>
          <w:top w:w="0" w:type="dxa"/>
          <w:left w:w="108" w:type="dxa"/>
          <w:bottom w:w="0" w:type="dxa"/>
          <w:right w:w="108" w:type="dxa"/>
        </w:tblCellMar>
      </w:tblPr>
      <w:tblGrid>
        <w:gridCol w:w="499"/>
        <w:gridCol w:w="1055"/>
        <w:gridCol w:w="1411"/>
        <w:gridCol w:w="1835"/>
        <w:gridCol w:w="988"/>
        <w:gridCol w:w="1129"/>
        <w:gridCol w:w="1129"/>
      </w:tblGrid>
      <w:tr>
        <w:tblPrEx>
          <w:tblCellMar>
            <w:top w:w="0" w:type="dxa"/>
            <w:left w:w="108" w:type="dxa"/>
            <w:bottom w:w="0" w:type="dxa"/>
            <w:right w:w="108" w:type="dxa"/>
          </w:tblCellMar>
        </w:tblPrEx>
        <w:trPr>
          <w:trHeight w:val="580" w:hRule="atLeast"/>
        </w:trPr>
        <w:tc>
          <w:tcPr>
            <w:tcW w:w="4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编号</w:t>
            </w:r>
          </w:p>
        </w:tc>
        <w:tc>
          <w:tcPr>
            <w:tcW w:w="1055"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子模块名</w:t>
            </w:r>
          </w:p>
        </w:tc>
        <w:tc>
          <w:tcPr>
            <w:tcW w:w="1411" w:type="dxa"/>
            <w:tcBorders>
              <w:top w:val="single" w:color="auto" w:sz="4" w:space="0"/>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业务元素</w:t>
            </w:r>
          </w:p>
        </w:tc>
        <w:tc>
          <w:tcPr>
            <w:tcW w:w="1835"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业务元素名称</w:t>
            </w:r>
          </w:p>
        </w:tc>
        <w:tc>
          <w:tcPr>
            <w:tcW w:w="988" w:type="dxa"/>
            <w:tcBorders>
              <w:top w:val="single" w:color="auto" w:sz="4" w:space="0"/>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级别</w:t>
            </w:r>
          </w:p>
        </w:tc>
        <w:tc>
          <w:tcPr>
            <w:tcW w:w="1129"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是否虚元素</w:t>
            </w:r>
          </w:p>
        </w:tc>
        <w:tc>
          <w:tcPr>
            <w:tcW w:w="1129"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是否必须</w:t>
            </w:r>
          </w:p>
        </w:tc>
      </w:tr>
      <w:tr>
        <w:tblPrEx>
          <w:tblCellMar>
            <w:top w:w="0" w:type="dxa"/>
            <w:left w:w="108" w:type="dxa"/>
            <w:bottom w:w="0" w:type="dxa"/>
            <w:right w:w="108" w:type="dxa"/>
          </w:tblCellMar>
        </w:tblPrEx>
        <w:trPr>
          <w:trHeight w:val="320" w:hRule="atLeast"/>
        </w:trPr>
        <w:tc>
          <w:tcPr>
            <w:tcW w:w="499" w:type="dxa"/>
            <w:tcBorders>
              <w:top w:val="nil"/>
              <w:left w:val="single" w:color="auto" w:sz="4" w:space="0"/>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1</w:t>
            </w:r>
          </w:p>
        </w:tc>
        <w:tc>
          <w:tcPr>
            <w:tcW w:w="1055"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聚合层次</w:t>
            </w: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060101</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聚合层次</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1</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　</w:t>
            </w:r>
          </w:p>
        </w:tc>
      </w:tr>
      <w:tr>
        <w:tblPrEx>
          <w:tblCellMar>
            <w:top w:w="0" w:type="dxa"/>
            <w:left w:w="108" w:type="dxa"/>
            <w:bottom w:w="0" w:type="dxa"/>
            <w:right w:w="108" w:type="dxa"/>
          </w:tblCellMar>
        </w:tblPrEx>
        <w:trPr>
          <w:trHeight w:val="320" w:hRule="atLeast"/>
        </w:trPr>
        <w:tc>
          <w:tcPr>
            <w:tcW w:w="499"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055"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来源</w:t>
            </w: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060201</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全宗名称</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060202</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立档单位名称</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060203</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输出文件信息</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060204</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lang w:val="en-US" w:eastAsia="zh-CN"/>
              </w:rPr>
              <w:t xml:space="preserve">  </w:t>
            </w:r>
            <w:r>
              <w:rPr>
                <w:rFonts w:hint="eastAsia" w:ascii="仿宋" w:hAnsi="仿宋" w:eastAsia="仿宋" w:cs="宋体"/>
                <w:color w:val="auto"/>
                <w:sz w:val="20"/>
                <w:szCs w:val="20"/>
              </w:rPr>
              <w:t>电子文件编号</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3</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060205</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lang w:val="en-US" w:eastAsia="zh-CN"/>
              </w:rPr>
              <w:t xml:space="preserve">  </w:t>
            </w:r>
            <w:r>
              <w:rPr>
                <w:rFonts w:hint="eastAsia" w:ascii="仿宋" w:hAnsi="仿宋" w:eastAsia="仿宋" w:cs="宋体"/>
                <w:color w:val="auto"/>
                <w:sz w:val="20"/>
                <w:szCs w:val="20"/>
              </w:rPr>
              <w:t>文件名</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3</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060206</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lang w:val="en-US" w:eastAsia="zh-CN"/>
              </w:rPr>
              <w:t xml:space="preserve">  </w:t>
            </w:r>
            <w:r>
              <w:rPr>
                <w:rFonts w:hint="eastAsia" w:ascii="仿宋" w:hAnsi="仿宋" w:eastAsia="仿宋" w:cs="宋体"/>
                <w:color w:val="auto"/>
                <w:sz w:val="20"/>
                <w:szCs w:val="20"/>
              </w:rPr>
              <w:t>文件格式</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3</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060207</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lang w:val="en-US" w:eastAsia="zh-CN"/>
              </w:rPr>
              <w:t xml:space="preserve">  </w:t>
            </w:r>
            <w:r>
              <w:rPr>
                <w:rFonts w:hint="eastAsia" w:ascii="仿宋" w:hAnsi="仿宋" w:eastAsia="仿宋" w:cs="宋体"/>
                <w:color w:val="auto"/>
                <w:sz w:val="20"/>
                <w:szCs w:val="20"/>
              </w:rPr>
              <w:t>格式版本</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3</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060208</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信息系统描述</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060209</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lang w:val="en-US" w:eastAsia="zh-CN"/>
              </w:rPr>
              <w:t xml:space="preserve">  </w:t>
            </w:r>
            <w:r>
              <w:rPr>
                <w:rFonts w:hint="eastAsia" w:ascii="仿宋" w:hAnsi="仿宋" w:eastAsia="仿宋" w:cs="宋体"/>
                <w:color w:val="auto"/>
                <w:sz w:val="20"/>
                <w:szCs w:val="20"/>
              </w:rPr>
              <w:t>系统名称</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3</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060210</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lang w:val="en-US" w:eastAsia="zh-CN"/>
              </w:rPr>
              <w:t xml:space="preserve">  </w:t>
            </w:r>
            <w:r>
              <w:rPr>
                <w:rFonts w:hint="eastAsia" w:ascii="仿宋" w:hAnsi="仿宋" w:eastAsia="仿宋" w:cs="宋体"/>
                <w:color w:val="auto"/>
                <w:sz w:val="20"/>
                <w:szCs w:val="20"/>
              </w:rPr>
              <w:t>系统版本</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3</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060211</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lang w:val="en-US" w:eastAsia="zh-CN"/>
              </w:rPr>
              <w:t xml:space="preserve">  </w:t>
            </w:r>
            <w:r>
              <w:rPr>
                <w:rFonts w:hint="eastAsia" w:ascii="仿宋" w:hAnsi="仿宋" w:eastAsia="仿宋" w:cs="宋体"/>
                <w:color w:val="auto"/>
                <w:sz w:val="20"/>
                <w:szCs w:val="20"/>
              </w:rPr>
              <w:t>系统开发商</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3</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hint="eastAsia" w:ascii="仿宋" w:hAnsi="仿宋" w:eastAsia="仿宋"/>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91"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060212</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数据输出人信息</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060213</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lang w:val="en-US" w:eastAsia="zh-CN"/>
              </w:rPr>
              <w:t xml:space="preserve">  </w:t>
            </w:r>
            <w:r>
              <w:rPr>
                <w:rFonts w:hint="eastAsia" w:ascii="仿宋" w:hAnsi="仿宋" w:eastAsia="仿宋" w:cs="宋体"/>
                <w:color w:val="auto"/>
                <w:sz w:val="20"/>
                <w:szCs w:val="20"/>
              </w:rPr>
              <w:t>机构人员编码</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3</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060214</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lang w:val="en-US" w:eastAsia="zh-CN"/>
              </w:rPr>
              <w:t xml:space="preserve">  </w:t>
            </w:r>
            <w:r>
              <w:rPr>
                <w:rFonts w:hint="eastAsia" w:ascii="仿宋" w:hAnsi="仿宋" w:eastAsia="仿宋" w:cs="宋体"/>
                <w:color w:val="auto"/>
                <w:sz w:val="20"/>
                <w:szCs w:val="20"/>
              </w:rPr>
              <w:t>机构人员名称</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3</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restart"/>
            <w:tcBorders>
              <w:top w:val="nil"/>
              <w:left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3</w:t>
            </w:r>
          </w:p>
        </w:tc>
        <w:tc>
          <w:tcPr>
            <w:tcW w:w="1055" w:type="dxa"/>
            <w:vMerge w:val="restart"/>
            <w:tcBorders>
              <w:top w:val="nil"/>
              <w:left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档号</w:t>
            </w: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060301</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全宗号</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left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left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060302</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分类号</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hint="eastAsia" w:ascii="仿宋" w:hAnsi="仿宋" w:eastAsia="仿宋"/>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left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left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060303</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年度</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left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left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060304</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保管期限</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left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left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060305</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卷内序号</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0</w:t>
            </w:r>
            <w:r>
              <w:rPr>
                <w:rFonts w:ascii="仿宋" w:hAnsi="仿宋" w:eastAsia="仿宋" w:cs="宋体"/>
                <w:color w:val="auto"/>
                <w:sz w:val="20"/>
                <w:szCs w:val="20"/>
              </w:rPr>
              <w:t>60306</w:t>
            </w:r>
          </w:p>
        </w:tc>
        <w:tc>
          <w:tcPr>
            <w:tcW w:w="1835" w:type="dxa"/>
            <w:tcBorders>
              <w:top w:val="nil"/>
              <w:left w:val="nil"/>
              <w:bottom w:val="single" w:color="auto" w:sz="4" w:space="0"/>
              <w:right w:val="single" w:color="auto" w:sz="4" w:space="0"/>
            </w:tcBorders>
            <w:vAlign w:val="center"/>
          </w:tcPr>
          <w:p>
            <w:pPr>
              <w:rPr>
                <w:rFonts w:hint="eastAsia" w:ascii="仿宋" w:hAnsi="仿宋" w:eastAsia="仿宋" w:cs="宋体"/>
                <w:color w:val="auto"/>
                <w:sz w:val="20"/>
                <w:szCs w:val="20"/>
              </w:rPr>
            </w:pPr>
            <w:r>
              <w:rPr>
                <w:rFonts w:hint="eastAsia" w:ascii="仿宋" w:hAnsi="仿宋" w:eastAsia="仿宋" w:cs="宋体"/>
                <w:color w:val="auto"/>
                <w:sz w:val="20"/>
                <w:szCs w:val="20"/>
              </w:rPr>
              <w:t>卷（册）号</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hint="eastAsia"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hint="eastAsia"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4</w:t>
            </w:r>
          </w:p>
        </w:tc>
        <w:tc>
          <w:tcPr>
            <w:tcW w:w="1055"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内容描述</w:t>
            </w: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060401</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题名</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060402</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日期</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060403</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密级</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5</w:t>
            </w:r>
          </w:p>
        </w:tc>
        <w:tc>
          <w:tcPr>
            <w:tcW w:w="1055"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权限管理</w:t>
            </w: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060501</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授权对象</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060502</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授权行为</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060503</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控制标识</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6</w:t>
            </w:r>
          </w:p>
        </w:tc>
        <w:tc>
          <w:tcPr>
            <w:tcW w:w="1055"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业务状态</w:t>
            </w: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060601</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业务行为</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r>
        <w:tblPrEx>
          <w:tblCellMar>
            <w:top w:w="0" w:type="dxa"/>
            <w:left w:w="108" w:type="dxa"/>
            <w:bottom w:w="0" w:type="dxa"/>
            <w:right w:w="108" w:type="dxa"/>
          </w:tblCellMar>
        </w:tblPrEx>
        <w:trPr>
          <w:trHeight w:val="320" w:hRule="atLeast"/>
        </w:trPr>
        <w:tc>
          <w:tcPr>
            <w:tcW w:w="49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05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olor w:val="auto"/>
                <w:sz w:val="20"/>
                <w:szCs w:val="20"/>
              </w:rPr>
            </w:pPr>
          </w:p>
        </w:tc>
        <w:tc>
          <w:tcPr>
            <w:tcW w:w="1411"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060602</w:t>
            </w:r>
          </w:p>
        </w:tc>
        <w:tc>
          <w:tcPr>
            <w:tcW w:w="1835" w:type="dxa"/>
            <w:tcBorders>
              <w:top w:val="nil"/>
              <w:left w:val="nil"/>
              <w:bottom w:val="single" w:color="auto" w:sz="4" w:space="0"/>
              <w:right w:val="single" w:color="auto" w:sz="4" w:space="0"/>
            </w:tcBorders>
            <w:vAlign w:val="center"/>
          </w:tcPr>
          <w:p>
            <w:pPr>
              <w:rPr>
                <w:rFonts w:ascii="仿宋" w:hAnsi="仿宋" w:eastAsia="仿宋" w:cs="宋体"/>
                <w:color w:val="auto"/>
                <w:sz w:val="20"/>
                <w:szCs w:val="20"/>
              </w:rPr>
            </w:pPr>
            <w:r>
              <w:rPr>
                <w:rFonts w:hint="eastAsia" w:ascii="仿宋" w:hAnsi="仿宋" w:eastAsia="仿宋" w:cs="宋体"/>
                <w:color w:val="auto"/>
                <w:sz w:val="20"/>
                <w:szCs w:val="20"/>
              </w:rPr>
              <w:t>行为时间</w:t>
            </w:r>
          </w:p>
        </w:tc>
        <w:tc>
          <w:tcPr>
            <w:tcW w:w="988" w:type="dxa"/>
            <w:tcBorders>
              <w:top w:val="nil"/>
              <w:left w:val="nil"/>
              <w:bottom w:val="single" w:color="auto" w:sz="4" w:space="0"/>
              <w:right w:val="single" w:color="auto" w:sz="4" w:space="0"/>
            </w:tcBorders>
            <w:vAlign w:val="center"/>
          </w:tcPr>
          <w:p>
            <w:pPr>
              <w:jc w:val="center"/>
              <w:rPr>
                <w:rFonts w:ascii="仿宋" w:hAnsi="仿宋" w:eastAsia="仿宋"/>
                <w:color w:val="auto"/>
                <w:sz w:val="20"/>
                <w:szCs w:val="20"/>
              </w:rPr>
            </w:pPr>
            <w:r>
              <w:rPr>
                <w:rFonts w:ascii="仿宋" w:hAnsi="仿宋" w:eastAsia="仿宋"/>
                <w:color w:val="auto"/>
                <w:sz w:val="20"/>
                <w:szCs w:val="20"/>
              </w:rPr>
              <w:t>2</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否</w:t>
            </w:r>
          </w:p>
        </w:tc>
        <w:tc>
          <w:tcPr>
            <w:tcW w:w="1129" w:type="dxa"/>
            <w:tcBorders>
              <w:top w:val="nil"/>
              <w:left w:val="nil"/>
              <w:bottom w:val="single" w:color="auto" w:sz="4" w:space="0"/>
              <w:right w:val="single" w:color="auto" w:sz="4" w:space="0"/>
            </w:tcBorders>
            <w:vAlign w:val="center"/>
          </w:tcPr>
          <w:p>
            <w:pPr>
              <w:jc w:val="center"/>
              <w:rPr>
                <w:rFonts w:ascii="仿宋" w:hAnsi="仿宋" w:eastAsia="仿宋" w:cs="宋体"/>
                <w:color w:val="auto"/>
                <w:sz w:val="20"/>
                <w:szCs w:val="20"/>
              </w:rPr>
            </w:pPr>
            <w:r>
              <w:rPr>
                <w:rFonts w:hint="eastAsia" w:ascii="仿宋" w:hAnsi="仿宋" w:eastAsia="仿宋" w:cs="宋体"/>
                <w:color w:val="auto"/>
                <w:sz w:val="20"/>
                <w:szCs w:val="20"/>
              </w:rPr>
              <w:t>是</w:t>
            </w:r>
          </w:p>
        </w:tc>
      </w:tr>
    </w:tbl>
    <w:p>
      <w:pPr>
        <w:keepNext/>
        <w:keepLines/>
        <w:numPr>
          <w:ilvl w:val="0"/>
          <w:numId w:val="0"/>
        </w:numPr>
        <w:spacing w:before="260" w:after="260" w:line="415" w:lineRule="auto"/>
        <w:ind w:leftChars="0"/>
        <w:outlineLvl w:val="1"/>
        <w:rPr>
          <w:rFonts w:hint="eastAsia" w:ascii="等线 Light" w:hAnsi="等线 Light" w:eastAsia="宋体"/>
          <w:b/>
          <w:bCs/>
          <w:szCs w:val="32"/>
          <w:lang w:val="en-US" w:eastAsia="zh-CN"/>
        </w:rPr>
      </w:pPr>
      <w:r>
        <w:rPr>
          <w:rFonts w:hint="eastAsia" w:ascii="等线 Light" w:hAnsi="等线 Light" w:eastAsia="宋体"/>
          <w:b/>
          <w:bCs/>
          <w:szCs w:val="32"/>
          <w:lang w:val="en-US" w:eastAsia="zh-CN"/>
        </w:rPr>
        <w:t>A.3电子会计档案归档日志数据</w:t>
      </w:r>
    </w:p>
    <w:p>
      <w:pPr>
        <w:keepNext/>
        <w:keepLines/>
        <w:numPr>
          <w:ilvl w:val="0"/>
          <w:numId w:val="0"/>
        </w:numPr>
        <w:spacing w:before="260" w:after="260" w:line="415" w:lineRule="auto"/>
        <w:ind w:leftChars="0"/>
        <w:outlineLvl w:val="2"/>
        <w:rPr>
          <w:rFonts w:hint="default" w:ascii="等线" w:hAnsi="等线" w:eastAsia="宋体"/>
          <w:b/>
          <w:bCs/>
          <w:szCs w:val="32"/>
          <w:lang w:val="en"/>
        </w:rPr>
      </w:pPr>
      <w:r>
        <w:rPr>
          <w:rFonts w:hint="eastAsia" w:ascii="等线" w:hAnsi="等线" w:eastAsia="宋体"/>
          <w:b/>
          <w:bCs/>
          <w:szCs w:val="32"/>
          <w:lang w:val="en-US" w:eastAsia="zh-CN"/>
        </w:rPr>
        <w:t>A.3</w:t>
      </w:r>
      <w:r>
        <w:rPr>
          <w:rFonts w:hint="default" w:ascii="等线" w:hAnsi="等线" w:eastAsia="宋体"/>
          <w:b/>
          <w:bCs/>
          <w:szCs w:val="32"/>
          <w:lang w:val="en"/>
        </w:rPr>
        <w:t>.1</w:t>
      </w:r>
      <w:r>
        <w:rPr>
          <w:rFonts w:hint="eastAsia" w:ascii="等线" w:hAnsi="等线" w:eastAsia="宋体"/>
          <w:b/>
          <w:bCs/>
          <w:szCs w:val="32"/>
          <w:lang w:val="en"/>
        </w:rPr>
        <w:t>元素清单范围</w:t>
      </w:r>
    </w:p>
    <w:p>
      <w:pPr>
        <w:ind w:firstLine="560" w:firstLineChars="200"/>
        <w:rPr>
          <w:color w:val="auto"/>
          <w:sz w:val="28"/>
          <w:szCs w:val="28"/>
        </w:rPr>
      </w:pPr>
      <w:r>
        <w:rPr>
          <w:color w:val="auto"/>
          <w:sz w:val="28"/>
          <w:szCs w:val="28"/>
        </w:rPr>
        <w:t>1</w:t>
      </w:r>
      <w:r>
        <w:rPr>
          <w:rFonts w:hint="eastAsia"/>
          <w:color w:val="auto"/>
          <w:sz w:val="28"/>
          <w:szCs w:val="28"/>
        </w:rPr>
        <w:t>用户操作日志</w:t>
      </w:r>
    </w:p>
    <w:p>
      <w:pPr>
        <w:keepNext/>
        <w:keepLines/>
        <w:numPr>
          <w:ilvl w:val="0"/>
          <w:numId w:val="0"/>
        </w:numPr>
        <w:spacing w:before="260" w:after="260" w:line="415" w:lineRule="auto"/>
        <w:ind w:leftChars="0"/>
        <w:outlineLvl w:val="2"/>
        <w:rPr>
          <w:rFonts w:hint="default" w:ascii="等线" w:hAnsi="等线" w:eastAsia="宋体"/>
          <w:b/>
          <w:bCs/>
          <w:szCs w:val="32"/>
          <w:lang w:val="en"/>
        </w:rPr>
      </w:pPr>
      <w:r>
        <w:rPr>
          <w:rFonts w:hint="eastAsia" w:ascii="等线" w:hAnsi="等线" w:eastAsia="宋体"/>
          <w:b/>
          <w:bCs/>
          <w:szCs w:val="32"/>
          <w:lang w:val="en-US" w:eastAsia="zh-CN"/>
        </w:rPr>
        <w:t>A.3</w:t>
      </w:r>
      <w:r>
        <w:rPr>
          <w:rFonts w:hint="default" w:ascii="等线" w:hAnsi="等线" w:eastAsia="宋体"/>
          <w:b/>
          <w:bCs/>
          <w:szCs w:val="32"/>
          <w:lang w:val="en"/>
        </w:rPr>
        <w:t>.2</w:t>
      </w:r>
      <w:r>
        <w:rPr>
          <w:rFonts w:hint="eastAsia" w:ascii="等线" w:hAnsi="等线" w:eastAsia="宋体"/>
          <w:b/>
          <w:bCs/>
          <w:szCs w:val="32"/>
          <w:lang w:val="en"/>
        </w:rPr>
        <w:t>元素清单及属性</w:t>
      </w:r>
    </w:p>
    <w:tbl>
      <w:tblPr>
        <w:tblStyle w:val="24"/>
        <w:tblW w:w="8030" w:type="dxa"/>
        <w:tblInd w:w="0" w:type="dxa"/>
        <w:tblLayout w:type="fixed"/>
        <w:tblCellMar>
          <w:top w:w="0" w:type="dxa"/>
          <w:left w:w="92" w:type="dxa"/>
          <w:bottom w:w="0" w:type="dxa"/>
          <w:right w:w="92" w:type="dxa"/>
        </w:tblCellMar>
      </w:tblPr>
      <w:tblGrid>
        <w:gridCol w:w="707"/>
        <w:gridCol w:w="1514"/>
        <w:gridCol w:w="1701"/>
        <w:gridCol w:w="1701"/>
        <w:gridCol w:w="708"/>
        <w:gridCol w:w="907"/>
        <w:gridCol w:w="792"/>
      </w:tblGrid>
      <w:tr>
        <w:tblPrEx>
          <w:tblCellMar>
            <w:top w:w="0" w:type="dxa"/>
            <w:left w:w="92" w:type="dxa"/>
            <w:bottom w:w="0" w:type="dxa"/>
            <w:right w:w="92" w:type="dxa"/>
          </w:tblCellMar>
        </w:tblPrEx>
        <w:trPr>
          <w:trHeight w:val="345" w:hRule="atLeast"/>
        </w:trPr>
        <w:tc>
          <w:tcPr>
            <w:tcW w:w="707" w:type="dxa"/>
            <w:tcBorders>
              <w:top w:val="single" w:color="auto" w:sz="2" w:space="0"/>
              <w:left w:val="single" w:color="auto" w:sz="2" w:space="0"/>
              <w:bottom w:val="single" w:color="auto" w:sz="2" w:space="0"/>
              <w:right w:val="single" w:color="auto" w:sz="6" w:space="0"/>
            </w:tcBorders>
            <w:vAlign w:val="center"/>
          </w:tcPr>
          <w:p>
            <w:pPr>
              <w:jc w:val="center"/>
              <w:rPr>
                <w:rFonts w:cs="宋体"/>
                <w:color w:val="auto"/>
                <w:sz w:val="20"/>
                <w:szCs w:val="20"/>
              </w:rPr>
            </w:pPr>
            <w:r>
              <w:rPr>
                <w:rFonts w:hint="eastAsia" w:cs="宋体"/>
                <w:color w:val="auto"/>
                <w:sz w:val="20"/>
                <w:szCs w:val="20"/>
              </w:rPr>
              <w:t>编号</w:t>
            </w:r>
          </w:p>
        </w:tc>
        <w:tc>
          <w:tcPr>
            <w:tcW w:w="1514" w:type="dxa"/>
            <w:tcBorders>
              <w:top w:val="single" w:color="auto" w:sz="2" w:space="0"/>
              <w:left w:val="single" w:color="auto" w:sz="6" w:space="0"/>
              <w:bottom w:val="single" w:color="auto" w:sz="2" w:space="0"/>
              <w:right w:val="single" w:color="auto" w:sz="6" w:space="0"/>
            </w:tcBorders>
            <w:vAlign w:val="center"/>
          </w:tcPr>
          <w:p>
            <w:pPr>
              <w:jc w:val="center"/>
              <w:rPr>
                <w:rFonts w:cs="宋体"/>
                <w:color w:val="auto"/>
                <w:sz w:val="20"/>
                <w:szCs w:val="20"/>
              </w:rPr>
            </w:pPr>
            <w:r>
              <w:rPr>
                <w:rFonts w:hint="eastAsia" w:cs="宋体"/>
                <w:color w:val="auto"/>
                <w:sz w:val="20"/>
                <w:szCs w:val="20"/>
              </w:rPr>
              <w:t>子模块名</w:t>
            </w:r>
          </w:p>
        </w:tc>
        <w:tc>
          <w:tcPr>
            <w:tcW w:w="1701" w:type="dxa"/>
            <w:tcBorders>
              <w:top w:val="single" w:color="auto" w:sz="2" w:space="0"/>
              <w:left w:val="single" w:color="auto" w:sz="6" w:space="0"/>
              <w:bottom w:val="single" w:color="auto" w:sz="2" w:space="0"/>
              <w:right w:val="single" w:color="auto" w:sz="6" w:space="0"/>
            </w:tcBorders>
            <w:vAlign w:val="center"/>
          </w:tcPr>
          <w:p>
            <w:pPr>
              <w:jc w:val="center"/>
              <w:rPr>
                <w:rFonts w:cs="宋体"/>
                <w:color w:val="auto"/>
                <w:sz w:val="20"/>
                <w:szCs w:val="20"/>
              </w:rPr>
            </w:pPr>
            <w:r>
              <w:rPr>
                <w:rFonts w:hint="eastAsia" w:cs="宋体"/>
                <w:color w:val="auto"/>
                <w:sz w:val="20"/>
                <w:szCs w:val="20"/>
              </w:rPr>
              <w:t>业务元素</w:t>
            </w:r>
          </w:p>
        </w:tc>
        <w:tc>
          <w:tcPr>
            <w:tcW w:w="1701" w:type="dxa"/>
            <w:tcBorders>
              <w:top w:val="single" w:color="auto" w:sz="2" w:space="0"/>
              <w:left w:val="single" w:color="auto" w:sz="6" w:space="0"/>
              <w:bottom w:val="single" w:color="auto" w:sz="2" w:space="0"/>
              <w:right w:val="single" w:color="auto" w:sz="6" w:space="0"/>
            </w:tcBorders>
            <w:vAlign w:val="center"/>
          </w:tcPr>
          <w:p>
            <w:pPr>
              <w:jc w:val="center"/>
              <w:rPr>
                <w:rFonts w:cs="宋体"/>
                <w:color w:val="auto"/>
                <w:sz w:val="20"/>
                <w:szCs w:val="20"/>
              </w:rPr>
            </w:pPr>
            <w:r>
              <w:rPr>
                <w:rFonts w:hint="eastAsia" w:cs="宋体"/>
                <w:color w:val="auto"/>
                <w:sz w:val="20"/>
                <w:szCs w:val="20"/>
              </w:rPr>
              <w:t>业务元素名称</w:t>
            </w:r>
          </w:p>
        </w:tc>
        <w:tc>
          <w:tcPr>
            <w:tcW w:w="708" w:type="dxa"/>
            <w:tcBorders>
              <w:top w:val="single" w:color="auto" w:sz="2" w:space="0"/>
              <w:left w:val="single" w:color="auto" w:sz="6" w:space="0"/>
              <w:bottom w:val="single" w:color="auto" w:sz="2" w:space="0"/>
              <w:right w:val="single" w:color="auto" w:sz="6" w:space="0"/>
            </w:tcBorders>
            <w:vAlign w:val="center"/>
          </w:tcPr>
          <w:p>
            <w:pPr>
              <w:jc w:val="center"/>
              <w:rPr>
                <w:rFonts w:cs="宋体"/>
                <w:color w:val="auto"/>
                <w:sz w:val="20"/>
                <w:szCs w:val="20"/>
              </w:rPr>
            </w:pPr>
            <w:r>
              <w:rPr>
                <w:rFonts w:hint="eastAsia" w:cs="宋体"/>
                <w:color w:val="auto"/>
                <w:sz w:val="20"/>
                <w:szCs w:val="20"/>
              </w:rPr>
              <w:t>级别</w:t>
            </w:r>
          </w:p>
        </w:tc>
        <w:tc>
          <w:tcPr>
            <w:tcW w:w="907" w:type="dxa"/>
            <w:tcBorders>
              <w:top w:val="single" w:color="auto" w:sz="2" w:space="0"/>
              <w:left w:val="single" w:color="auto" w:sz="6" w:space="0"/>
              <w:bottom w:val="single" w:color="auto" w:sz="2" w:space="0"/>
              <w:right w:val="single" w:color="auto" w:sz="2" w:space="0"/>
            </w:tcBorders>
            <w:vAlign w:val="top"/>
          </w:tcPr>
          <w:p>
            <w:pPr>
              <w:jc w:val="center"/>
              <w:rPr>
                <w:rFonts w:cs="宋体"/>
                <w:color w:val="auto"/>
                <w:sz w:val="20"/>
                <w:szCs w:val="20"/>
              </w:rPr>
            </w:pPr>
            <w:r>
              <w:rPr>
                <w:rFonts w:hint="eastAsia" w:cs="宋体"/>
                <w:color w:val="auto"/>
                <w:sz w:val="20"/>
                <w:szCs w:val="20"/>
              </w:rPr>
              <w:t>是否</w:t>
            </w:r>
          </w:p>
          <w:p>
            <w:pPr>
              <w:jc w:val="center"/>
              <w:rPr>
                <w:rFonts w:cs="宋体"/>
                <w:color w:val="auto"/>
                <w:sz w:val="20"/>
                <w:szCs w:val="20"/>
              </w:rPr>
            </w:pPr>
            <w:r>
              <w:rPr>
                <w:rFonts w:hint="eastAsia" w:cs="宋体"/>
                <w:color w:val="auto"/>
                <w:sz w:val="20"/>
                <w:szCs w:val="20"/>
              </w:rPr>
              <w:t>虚元素</w:t>
            </w:r>
          </w:p>
        </w:tc>
        <w:tc>
          <w:tcPr>
            <w:tcW w:w="792" w:type="dxa"/>
            <w:tcBorders>
              <w:top w:val="single" w:color="auto" w:sz="2" w:space="0"/>
              <w:left w:val="single" w:color="auto" w:sz="6" w:space="0"/>
              <w:bottom w:val="single" w:color="auto" w:sz="2" w:space="0"/>
              <w:right w:val="single" w:color="auto" w:sz="2" w:space="0"/>
            </w:tcBorders>
            <w:vAlign w:val="top"/>
          </w:tcPr>
          <w:p>
            <w:pPr>
              <w:jc w:val="center"/>
              <w:rPr>
                <w:rFonts w:cs="宋体"/>
                <w:color w:val="auto"/>
                <w:sz w:val="20"/>
                <w:szCs w:val="20"/>
              </w:rPr>
            </w:pPr>
            <w:r>
              <w:rPr>
                <w:rFonts w:hint="eastAsia" w:cs="宋体"/>
                <w:color w:val="auto"/>
                <w:sz w:val="20"/>
                <w:szCs w:val="20"/>
              </w:rPr>
              <w:t>是否必须</w:t>
            </w:r>
          </w:p>
        </w:tc>
      </w:tr>
      <w:tr>
        <w:tblPrEx>
          <w:tblCellMar>
            <w:top w:w="0" w:type="dxa"/>
            <w:left w:w="92" w:type="dxa"/>
            <w:bottom w:w="0" w:type="dxa"/>
            <w:right w:w="92" w:type="dxa"/>
          </w:tblCellMar>
        </w:tblPrEx>
        <w:trPr>
          <w:trHeight w:val="232" w:hRule="atLeast"/>
        </w:trPr>
        <w:tc>
          <w:tcPr>
            <w:tcW w:w="707" w:type="dxa"/>
            <w:vMerge w:val="restart"/>
            <w:tcBorders>
              <w:left w:val="single" w:color="auto" w:sz="2" w:space="0"/>
              <w:right w:val="single" w:color="auto" w:sz="2" w:space="0"/>
            </w:tcBorders>
            <w:vAlign w:val="center"/>
          </w:tcPr>
          <w:p>
            <w:pPr>
              <w:widowControl/>
              <w:jc w:val="center"/>
              <w:rPr>
                <w:color w:val="auto"/>
                <w:szCs w:val="21"/>
              </w:rPr>
            </w:pPr>
            <w:r>
              <w:rPr>
                <w:color w:val="auto"/>
                <w:szCs w:val="21"/>
              </w:rPr>
              <w:t>01</w:t>
            </w:r>
          </w:p>
        </w:tc>
        <w:tc>
          <w:tcPr>
            <w:tcW w:w="1514" w:type="dxa"/>
            <w:vMerge w:val="restart"/>
            <w:tcBorders>
              <w:left w:val="single" w:color="auto" w:sz="2" w:space="0"/>
              <w:right w:val="single" w:color="auto" w:sz="2" w:space="0"/>
            </w:tcBorders>
            <w:vAlign w:val="center"/>
          </w:tcPr>
          <w:p>
            <w:pPr>
              <w:widowControl/>
              <w:jc w:val="left"/>
              <w:rPr>
                <w:color w:val="auto"/>
                <w:szCs w:val="21"/>
              </w:rPr>
            </w:pPr>
            <w:r>
              <w:rPr>
                <w:rFonts w:hint="eastAsia"/>
                <w:color w:val="auto"/>
                <w:szCs w:val="21"/>
              </w:rPr>
              <w:t>用户操作日志</w:t>
            </w:r>
          </w:p>
        </w:tc>
        <w:tc>
          <w:tcPr>
            <w:tcW w:w="1701"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070101</w:t>
            </w:r>
          </w:p>
        </w:tc>
        <w:tc>
          <w:tcPr>
            <w:tcW w:w="1701" w:type="dxa"/>
            <w:tcBorders>
              <w:top w:val="nil"/>
              <w:left w:val="nil"/>
              <w:bottom w:val="single" w:color="auto" w:sz="2" w:space="0"/>
              <w:right w:val="single" w:color="auto" w:sz="2" w:space="0"/>
            </w:tcBorders>
            <w:vAlign w:val="top"/>
          </w:tcPr>
          <w:p>
            <w:pPr>
              <w:widowControl/>
              <w:jc w:val="left"/>
              <w:rPr>
                <w:color w:val="auto"/>
                <w:szCs w:val="21"/>
              </w:rPr>
            </w:pPr>
            <w:r>
              <w:rPr>
                <w:rFonts w:hint="eastAsia"/>
                <w:color w:val="auto"/>
                <w:szCs w:val="21"/>
              </w:rPr>
              <w:t>用户编码</w:t>
            </w:r>
          </w:p>
        </w:tc>
        <w:tc>
          <w:tcPr>
            <w:tcW w:w="708"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2</w:t>
            </w:r>
          </w:p>
        </w:tc>
        <w:tc>
          <w:tcPr>
            <w:tcW w:w="907" w:type="dxa"/>
            <w:tcBorders>
              <w:top w:val="nil"/>
              <w:left w:val="nil"/>
              <w:bottom w:val="single" w:color="auto" w:sz="2" w:space="0"/>
              <w:right w:val="single" w:color="auto" w:sz="2" w:space="0"/>
            </w:tcBorders>
            <w:vAlign w:val="top"/>
          </w:tcPr>
          <w:p>
            <w:pPr>
              <w:widowControl/>
              <w:jc w:val="center"/>
              <w:rPr>
                <w:color w:val="auto"/>
                <w:szCs w:val="21"/>
              </w:rPr>
            </w:pPr>
            <w:r>
              <w:rPr>
                <w:rFonts w:hint="eastAsia"/>
                <w:color w:val="auto"/>
                <w:szCs w:val="21"/>
              </w:rPr>
              <w:t>否</w:t>
            </w:r>
          </w:p>
        </w:tc>
        <w:tc>
          <w:tcPr>
            <w:tcW w:w="792" w:type="dxa"/>
            <w:tcBorders>
              <w:top w:val="nil"/>
              <w:left w:val="nil"/>
              <w:bottom w:val="single" w:color="auto" w:sz="2" w:space="0"/>
              <w:right w:val="single" w:color="auto" w:sz="2" w:space="0"/>
            </w:tcBorders>
            <w:vAlign w:val="center"/>
          </w:tcPr>
          <w:p>
            <w:pPr>
              <w:widowControl/>
              <w:jc w:val="center"/>
              <w:rPr>
                <w:color w:val="auto"/>
                <w:szCs w:val="21"/>
              </w:rPr>
            </w:pPr>
            <w:r>
              <w:rPr>
                <w:rFonts w:hint="eastAsia"/>
                <w:color w:val="auto"/>
              </w:rPr>
              <w:t>是</w:t>
            </w:r>
          </w:p>
        </w:tc>
      </w:tr>
      <w:tr>
        <w:tblPrEx>
          <w:tblCellMar>
            <w:top w:w="0" w:type="dxa"/>
            <w:left w:w="92" w:type="dxa"/>
            <w:bottom w:w="0" w:type="dxa"/>
            <w:right w:w="92" w:type="dxa"/>
          </w:tblCellMar>
        </w:tblPrEx>
        <w:trPr>
          <w:trHeight w:val="232" w:hRule="atLeast"/>
        </w:trPr>
        <w:tc>
          <w:tcPr>
            <w:tcW w:w="707" w:type="dxa"/>
            <w:vMerge w:val="continue"/>
            <w:tcBorders>
              <w:left w:val="single" w:color="auto" w:sz="2" w:space="0"/>
              <w:right w:val="single" w:color="auto" w:sz="2" w:space="0"/>
            </w:tcBorders>
            <w:vAlign w:val="center"/>
          </w:tcPr>
          <w:p>
            <w:pPr>
              <w:widowControl/>
              <w:jc w:val="center"/>
              <w:rPr>
                <w:color w:val="auto"/>
                <w:szCs w:val="21"/>
              </w:rPr>
            </w:pPr>
          </w:p>
        </w:tc>
        <w:tc>
          <w:tcPr>
            <w:tcW w:w="1514" w:type="dxa"/>
            <w:vMerge w:val="continue"/>
            <w:tcBorders>
              <w:left w:val="single" w:color="auto" w:sz="2" w:space="0"/>
              <w:right w:val="single" w:color="auto" w:sz="2" w:space="0"/>
            </w:tcBorders>
            <w:vAlign w:val="center"/>
          </w:tcPr>
          <w:p>
            <w:pPr>
              <w:widowControl/>
              <w:jc w:val="left"/>
              <w:rPr>
                <w:color w:val="auto"/>
                <w:szCs w:val="21"/>
              </w:rPr>
            </w:pPr>
          </w:p>
        </w:tc>
        <w:tc>
          <w:tcPr>
            <w:tcW w:w="1701"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0170102</w:t>
            </w:r>
          </w:p>
        </w:tc>
        <w:tc>
          <w:tcPr>
            <w:tcW w:w="1701" w:type="dxa"/>
            <w:tcBorders>
              <w:top w:val="nil"/>
              <w:left w:val="nil"/>
              <w:bottom w:val="single" w:color="auto" w:sz="2" w:space="0"/>
              <w:right w:val="single" w:color="auto" w:sz="2" w:space="0"/>
            </w:tcBorders>
            <w:vAlign w:val="top"/>
          </w:tcPr>
          <w:p>
            <w:pPr>
              <w:widowControl/>
              <w:jc w:val="left"/>
              <w:rPr>
                <w:color w:val="auto"/>
                <w:szCs w:val="21"/>
              </w:rPr>
            </w:pPr>
            <w:r>
              <w:rPr>
                <w:rFonts w:hint="eastAsia"/>
                <w:color w:val="auto"/>
                <w:szCs w:val="21"/>
              </w:rPr>
              <w:t>用户名称</w:t>
            </w:r>
          </w:p>
        </w:tc>
        <w:tc>
          <w:tcPr>
            <w:tcW w:w="708"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2</w:t>
            </w:r>
          </w:p>
        </w:tc>
        <w:tc>
          <w:tcPr>
            <w:tcW w:w="907" w:type="dxa"/>
            <w:tcBorders>
              <w:top w:val="nil"/>
              <w:left w:val="nil"/>
              <w:bottom w:val="single" w:color="auto" w:sz="2" w:space="0"/>
              <w:right w:val="single" w:color="auto" w:sz="2" w:space="0"/>
            </w:tcBorders>
            <w:vAlign w:val="top"/>
          </w:tcPr>
          <w:p>
            <w:pPr>
              <w:widowControl/>
              <w:jc w:val="center"/>
              <w:rPr>
                <w:color w:val="auto"/>
                <w:szCs w:val="21"/>
              </w:rPr>
            </w:pPr>
            <w:r>
              <w:rPr>
                <w:rFonts w:hint="eastAsia"/>
                <w:color w:val="auto"/>
                <w:szCs w:val="21"/>
              </w:rPr>
              <w:t>否</w:t>
            </w:r>
          </w:p>
        </w:tc>
        <w:tc>
          <w:tcPr>
            <w:tcW w:w="792" w:type="dxa"/>
            <w:tcBorders>
              <w:top w:val="nil"/>
              <w:left w:val="nil"/>
              <w:bottom w:val="single" w:color="auto" w:sz="2" w:space="0"/>
              <w:right w:val="single" w:color="auto" w:sz="2" w:space="0"/>
            </w:tcBorders>
            <w:vAlign w:val="center"/>
          </w:tcPr>
          <w:p>
            <w:pPr>
              <w:widowControl/>
              <w:jc w:val="center"/>
              <w:rPr>
                <w:color w:val="auto"/>
                <w:szCs w:val="21"/>
              </w:rPr>
            </w:pPr>
            <w:r>
              <w:rPr>
                <w:rFonts w:hint="eastAsia"/>
                <w:color w:val="auto"/>
              </w:rPr>
              <w:t>是</w:t>
            </w:r>
          </w:p>
        </w:tc>
      </w:tr>
      <w:tr>
        <w:tblPrEx>
          <w:tblCellMar>
            <w:top w:w="0" w:type="dxa"/>
            <w:left w:w="92" w:type="dxa"/>
            <w:bottom w:w="0" w:type="dxa"/>
            <w:right w:w="92" w:type="dxa"/>
          </w:tblCellMar>
        </w:tblPrEx>
        <w:trPr>
          <w:trHeight w:val="232" w:hRule="atLeast"/>
        </w:trPr>
        <w:tc>
          <w:tcPr>
            <w:tcW w:w="707" w:type="dxa"/>
            <w:vMerge w:val="continue"/>
            <w:tcBorders>
              <w:left w:val="single" w:color="auto" w:sz="2" w:space="0"/>
              <w:right w:val="single" w:color="auto" w:sz="2" w:space="0"/>
            </w:tcBorders>
            <w:vAlign w:val="center"/>
          </w:tcPr>
          <w:p>
            <w:pPr>
              <w:widowControl/>
              <w:jc w:val="center"/>
              <w:rPr>
                <w:color w:val="auto"/>
                <w:szCs w:val="21"/>
              </w:rPr>
            </w:pPr>
          </w:p>
        </w:tc>
        <w:tc>
          <w:tcPr>
            <w:tcW w:w="1514" w:type="dxa"/>
            <w:vMerge w:val="continue"/>
            <w:tcBorders>
              <w:left w:val="single" w:color="auto" w:sz="2" w:space="0"/>
              <w:right w:val="single" w:color="auto" w:sz="2" w:space="0"/>
            </w:tcBorders>
            <w:vAlign w:val="center"/>
          </w:tcPr>
          <w:p>
            <w:pPr>
              <w:widowControl/>
              <w:jc w:val="left"/>
              <w:rPr>
                <w:color w:val="auto"/>
                <w:szCs w:val="21"/>
              </w:rPr>
            </w:pPr>
          </w:p>
        </w:tc>
        <w:tc>
          <w:tcPr>
            <w:tcW w:w="1701"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070103</w:t>
            </w:r>
          </w:p>
        </w:tc>
        <w:tc>
          <w:tcPr>
            <w:tcW w:w="1701" w:type="dxa"/>
            <w:tcBorders>
              <w:top w:val="nil"/>
              <w:left w:val="nil"/>
              <w:bottom w:val="single" w:color="auto" w:sz="2" w:space="0"/>
              <w:right w:val="single" w:color="auto" w:sz="2" w:space="0"/>
            </w:tcBorders>
            <w:vAlign w:val="top"/>
          </w:tcPr>
          <w:p>
            <w:pPr>
              <w:widowControl/>
              <w:jc w:val="left"/>
              <w:rPr>
                <w:color w:val="auto"/>
                <w:szCs w:val="21"/>
              </w:rPr>
            </w:pPr>
            <w:r>
              <w:rPr>
                <w:rFonts w:hint="eastAsia"/>
                <w:color w:val="auto"/>
                <w:szCs w:val="21"/>
              </w:rPr>
              <w:t>业务对象名称</w:t>
            </w:r>
          </w:p>
        </w:tc>
        <w:tc>
          <w:tcPr>
            <w:tcW w:w="708"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2</w:t>
            </w:r>
          </w:p>
        </w:tc>
        <w:tc>
          <w:tcPr>
            <w:tcW w:w="907" w:type="dxa"/>
            <w:tcBorders>
              <w:top w:val="nil"/>
              <w:left w:val="nil"/>
              <w:bottom w:val="single" w:color="auto" w:sz="2" w:space="0"/>
              <w:right w:val="single" w:color="auto" w:sz="2" w:space="0"/>
            </w:tcBorders>
            <w:vAlign w:val="top"/>
          </w:tcPr>
          <w:p>
            <w:pPr>
              <w:widowControl/>
              <w:jc w:val="center"/>
              <w:rPr>
                <w:color w:val="auto"/>
                <w:szCs w:val="21"/>
              </w:rPr>
            </w:pPr>
            <w:r>
              <w:rPr>
                <w:rFonts w:hint="eastAsia"/>
                <w:color w:val="auto"/>
                <w:szCs w:val="21"/>
              </w:rPr>
              <w:t>是</w:t>
            </w:r>
          </w:p>
        </w:tc>
        <w:tc>
          <w:tcPr>
            <w:tcW w:w="792" w:type="dxa"/>
            <w:tcBorders>
              <w:top w:val="nil"/>
              <w:left w:val="nil"/>
              <w:bottom w:val="single" w:color="auto" w:sz="2" w:space="0"/>
              <w:right w:val="single" w:color="auto" w:sz="2" w:space="0"/>
            </w:tcBorders>
            <w:vAlign w:val="center"/>
          </w:tcPr>
          <w:p>
            <w:pPr>
              <w:widowControl/>
              <w:jc w:val="center"/>
              <w:rPr>
                <w:color w:val="auto"/>
                <w:szCs w:val="21"/>
              </w:rPr>
            </w:pPr>
            <w:r>
              <w:rPr>
                <w:rFonts w:hint="eastAsia"/>
                <w:color w:val="auto"/>
              </w:rPr>
              <w:t>是</w:t>
            </w:r>
          </w:p>
        </w:tc>
      </w:tr>
      <w:tr>
        <w:tblPrEx>
          <w:tblCellMar>
            <w:top w:w="0" w:type="dxa"/>
            <w:left w:w="92" w:type="dxa"/>
            <w:bottom w:w="0" w:type="dxa"/>
            <w:right w:w="92" w:type="dxa"/>
          </w:tblCellMar>
        </w:tblPrEx>
        <w:trPr>
          <w:trHeight w:val="232" w:hRule="atLeast"/>
        </w:trPr>
        <w:tc>
          <w:tcPr>
            <w:tcW w:w="707" w:type="dxa"/>
            <w:vMerge w:val="continue"/>
            <w:tcBorders>
              <w:left w:val="single" w:color="auto" w:sz="2" w:space="0"/>
              <w:right w:val="single" w:color="auto" w:sz="2" w:space="0"/>
            </w:tcBorders>
            <w:vAlign w:val="center"/>
          </w:tcPr>
          <w:p>
            <w:pPr>
              <w:widowControl/>
              <w:jc w:val="center"/>
              <w:rPr>
                <w:color w:val="auto"/>
                <w:szCs w:val="21"/>
              </w:rPr>
            </w:pPr>
          </w:p>
        </w:tc>
        <w:tc>
          <w:tcPr>
            <w:tcW w:w="1514" w:type="dxa"/>
            <w:vMerge w:val="continue"/>
            <w:tcBorders>
              <w:left w:val="single" w:color="auto" w:sz="2" w:space="0"/>
              <w:right w:val="single" w:color="auto" w:sz="2" w:space="0"/>
            </w:tcBorders>
            <w:vAlign w:val="center"/>
          </w:tcPr>
          <w:p>
            <w:pPr>
              <w:widowControl/>
              <w:jc w:val="left"/>
              <w:rPr>
                <w:color w:val="auto"/>
                <w:szCs w:val="21"/>
              </w:rPr>
            </w:pPr>
          </w:p>
        </w:tc>
        <w:tc>
          <w:tcPr>
            <w:tcW w:w="1701"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070104</w:t>
            </w:r>
          </w:p>
        </w:tc>
        <w:tc>
          <w:tcPr>
            <w:tcW w:w="1701" w:type="dxa"/>
            <w:tcBorders>
              <w:top w:val="nil"/>
              <w:left w:val="nil"/>
              <w:bottom w:val="single" w:color="auto" w:sz="2" w:space="0"/>
              <w:right w:val="single" w:color="auto" w:sz="2" w:space="0"/>
            </w:tcBorders>
            <w:vAlign w:val="top"/>
          </w:tcPr>
          <w:p>
            <w:pPr>
              <w:widowControl/>
              <w:jc w:val="left"/>
              <w:rPr>
                <w:color w:val="auto"/>
                <w:szCs w:val="21"/>
              </w:rPr>
            </w:pPr>
            <w:r>
              <w:rPr>
                <w:rFonts w:hint="eastAsia"/>
                <w:color w:val="auto"/>
                <w:szCs w:val="21"/>
              </w:rPr>
              <w:t>操作时间</w:t>
            </w:r>
          </w:p>
        </w:tc>
        <w:tc>
          <w:tcPr>
            <w:tcW w:w="708"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2</w:t>
            </w:r>
          </w:p>
        </w:tc>
        <w:tc>
          <w:tcPr>
            <w:tcW w:w="907" w:type="dxa"/>
            <w:tcBorders>
              <w:top w:val="nil"/>
              <w:left w:val="nil"/>
              <w:bottom w:val="single" w:color="auto" w:sz="2" w:space="0"/>
              <w:right w:val="single" w:color="auto" w:sz="2" w:space="0"/>
            </w:tcBorders>
            <w:vAlign w:val="top"/>
          </w:tcPr>
          <w:p>
            <w:pPr>
              <w:widowControl/>
              <w:jc w:val="center"/>
              <w:rPr>
                <w:color w:val="auto"/>
                <w:szCs w:val="21"/>
              </w:rPr>
            </w:pPr>
            <w:r>
              <w:rPr>
                <w:rFonts w:hint="eastAsia"/>
                <w:color w:val="auto"/>
                <w:szCs w:val="21"/>
              </w:rPr>
              <w:t>否</w:t>
            </w:r>
          </w:p>
        </w:tc>
        <w:tc>
          <w:tcPr>
            <w:tcW w:w="792" w:type="dxa"/>
            <w:tcBorders>
              <w:top w:val="nil"/>
              <w:left w:val="nil"/>
              <w:bottom w:val="single" w:color="auto" w:sz="2" w:space="0"/>
              <w:right w:val="single" w:color="auto" w:sz="2" w:space="0"/>
            </w:tcBorders>
            <w:vAlign w:val="center"/>
          </w:tcPr>
          <w:p>
            <w:pPr>
              <w:widowControl/>
              <w:jc w:val="center"/>
              <w:rPr>
                <w:color w:val="auto"/>
                <w:szCs w:val="21"/>
              </w:rPr>
            </w:pPr>
            <w:r>
              <w:rPr>
                <w:rFonts w:hint="eastAsia"/>
                <w:color w:val="auto"/>
              </w:rPr>
              <w:t>是</w:t>
            </w:r>
          </w:p>
        </w:tc>
      </w:tr>
      <w:tr>
        <w:tblPrEx>
          <w:tblCellMar>
            <w:top w:w="0" w:type="dxa"/>
            <w:left w:w="92" w:type="dxa"/>
            <w:bottom w:w="0" w:type="dxa"/>
            <w:right w:w="92" w:type="dxa"/>
          </w:tblCellMar>
        </w:tblPrEx>
        <w:trPr>
          <w:trHeight w:val="232" w:hRule="atLeast"/>
        </w:trPr>
        <w:tc>
          <w:tcPr>
            <w:tcW w:w="707" w:type="dxa"/>
            <w:vMerge w:val="continue"/>
            <w:tcBorders>
              <w:left w:val="single" w:color="auto" w:sz="2" w:space="0"/>
              <w:right w:val="single" w:color="auto" w:sz="2" w:space="0"/>
            </w:tcBorders>
            <w:vAlign w:val="center"/>
          </w:tcPr>
          <w:p>
            <w:pPr>
              <w:widowControl/>
              <w:jc w:val="center"/>
              <w:rPr>
                <w:color w:val="auto"/>
                <w:szCs w:val="21"/>
              </w:rPr>
            </w:pPr>
          </w:p>
        </w:tc>
        <w:tc>
          <w:tcPr>
            <w:tcW w:w="1514" w:type="dxa"/>
            <w:vMerge w:val="continue"/>
            <w:tcBorders>
              <w:left w:val="single" w:color="auto" w:sz="2" w:space="0"/>
              <w:right w:val="single" w:color="auto" w:sz="2" w:space="0"/>
            </w:tcBorders>
            <w:vAlign w:val="center"/>
          </w:tcPr>
          <w:p>
            <w:pPr>
              <w:widowControl/>
              <w:jc w:val="left"/>
              <w:rPr>
                <w:color w:val="auto"/>
                <w:szCs w:val="21"/>
              </w:rPr>
            </w:pPr>
          </w:p>
        </w:tc>
        <w:tc>
          <w:tcPr>
            <w:tcW w:w="1701"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070105</w:t>
            </w:r>
          </w:p>
        </w:tc>
        <w:tc>
          <w:tcPr>
            <w:tcW w:w="1701" w:type="dxa"/>
            <w:tcBorders>
              <w:top w:val="nil"/>
              <w:left w:val="nil"/>
              <w:bottom w:val="single" w:color="auto" w:sz="2" w:space="0"/>
              <w:right w:val="single" w:color="auto" w:sz="2" w:space="0"/>
            </w:tcBorders>
            <w:vAlign w:val="top"/>
          </w:tcPr>
          <w:p>
            <w:pPr>
              <w:widowControl/>
              <w:jc w:val="left"/>
              <w:rPr>
                <w:color w:val="auto"/>
                <w:szCs w:val="21"/>
              </w:rPr>
            </w:pPr>
            <w:r>
              <w:rPr>
                <w:rFonts w:hint="eastAsia"/>
                <w:color w:val="auto"/>
                <w:szCs w:val="21"/>
              </w:rPr>
              <w:t>操作类型</w:t>
            </w:r>
          </w:p>
        </w:tc>
        <w:tc>
          <w:tcPr>
            <w:tcW w:w="708"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2</w:t>
            </w:r>
          </w:p>
        </w:tc>
        <w:tc>
          <w:tcPr>
            <w:tcW w:w="907" w:type="dxa"/>
            <w:tcBorders>
              <w:top w:val="nil"/>
              <w:left w:val="nil"/>
              <w:bottom w:val="single" w:color="auto" w:sz="2" w:space="0"/>
              <w:right w:val="single" w:color="auto" w:sz="2" w:space="0"/>
            </w:tcBorders>
            <w:vAlign w:val="top"/>
          </w:tcPr>
          <w:p>
            <w:pPr>
              <w:widowControl/>
              <w:jc w:val="center"/>
              <w:rPr>
                <w:color w:val="auto"/>
                <w:szCs w:val="21"/>
              </w:rPr>
            </w:pPr>
            <w:r>
              <w:rPr>
                <w:rFonts w:hint="eastAsia"/>
                <w:color w:val="auto"/>
                <w:szCs w:val="21"/>
              </w:rPr>
              <w:t>是</w:t>
            </w:r>
          </w:p>
        </w:tc>
        <w:tc>
          <w:tcPr>
            <w:tcW w:w="792" w:type="dxa"/>
            <w:tcBorders>
              <w:top w:val="nil"/>
              <w:left w:val="nil"/>
              <w:bottom w:val="single" w:color="auto" w:sz="2" w:space="0"/>
              <w:right w:val="single" w:color="auto" w:sz="2" w:space="0"/>
            </w:tcBorders>
            <w:vAlign w:val="center"/>
          </w:tcPr>
          <w:p>
            <w:pPr>
              <w:widowControl/>
              <w:jc w:val="center"/>
              <w:rPr>
                <w:color w:val="auto"/>
                <w:szCs w:val="21"/>
              </w:rPr>
            </w:pPr>
            <w:r>
              <w:rPr>
                <w:rFonts w:hint="eastAsia"/>
                <w:color w:val="auto"/>
              </w:rPr>
              <w:t>是</w:t>
            </w:r>
          </w:p>
        </w:tc>
      </w:tr>
      <w:tr>
        <w:tblPrEx>
          <w:tblCellMar>
            <w:top w:w="0" w:type="dxa"/>
            <w:left w:w="92" w:type="dxa"/>
            <w:bottom w:w="0" w:type="dxa"/>
            <w:right w:w="92" w:type="dxa"/>
          </w:tblCellMar>
        </w:tblPrEx>
        <w:trPr>
          <w:trHeight w:val="232" w:hRule="atLeast"/>
        </w:trPr>
        <w:tc>
          <w:tcPr>
            <w:tcW w:w="707" w:type="dxa"/>
            <w:vMerge w:val="continue"/>
            <w:tcBorders>
              <w:left w:val="single" w:color="auto" w:sz="2" w:space="0"/>
              <w:bottom w:val="single" w:color="auto" w:sz="2" w:space="0"/>
              <w:right w:val="single" w:color="auto" w:sz="2" w:space="0"/>
            </w:tcBorders>
            <w:vAlign w:val="center"/>
          </w:tcPr>
          <w:p>
            <w:pPr>
              <w:widowControl/>
              <w:jc w:val="center"/>
              <w:rPr>
                <w:color w:val="auto"/>
                <w:szCs w:val="21"/>
              </w:rPr>
            </w:pPr>
          </w:p>
        </w:tc>
        <w:tc>
          <w:tcPr>
            <w:tcW w:w="1514" w:type="dxa"/>
            <w:vMerge w:val="continue"/>
            <w:tcBorders>
              <w:left w:val="single" w:color="auto" w:sz="2" w:space="0"/>
              <w:bottom w:val="single" w:color="auto" w:sz="2" w:space="0"/>
              <w:right w:val="single" w:color="auto" w:sz="2" w:space="0"/>
            </w:tcBorders>
            <w:vAlign w:val="center"/>
          </w:tcPr>
          <w:p>
            <w:pPr>
              <w:widowControl/>
              <w:jc w:val="left"/>
              <w:rPr>
                <w:color w:val="auto"/>
                <w:szCs w:val="21"/>
              </w:rPr>
            </w:pPr>
          </w:p>
        </w:tc>
        <w:tc>
          <w:tcPr>
            <w:tcW w:w="1701"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070106</w:t>
            </w:r>
          </w:p>
        </w:tc>
        <w:tc>
          <w:tcPr>
            <w:tcW w:w="1701" w:type="dxa"/>
            <w:tcBorders>
              <w:top w:val="nil"/>
              <w:left w:val="nil"/>
              <w:bottom w:val="single" w:color="auto" w:sz="2" w:space="0"/>
              <w:right w:val="single" w:color="auto" w:sz="2" w:space="0"/>
            </w:tcBorders>
            <w:vAlign w:val="top"/>
          </w:tcPr>
          <w:p>
            <w:pPr>
              <w:widowControl/>
              <w:jc w:val="left"/>
              <w:rPr>
                <w:color w:val="auto"/>
                <w:szCs w:val="21"/>
              </w:rPr>
            </w:pPr>
            <w:r>
              <w:rPr>
                <w:rFonts w:hint="eastAsia"/>
                <w:color w:val="auto"/>
                <w:szCs w:val="21"/>
              </w:rPr>
              <w:t>操作信息</w:t>
            </w:r>
          </w:p>
        </w:tc>
        <w:tc>
          <w:tcPr>
            <w:tcW w:w="708" w:type="dxa"/>
            <w:tcBorders>
              <w:top w:val="nil"/>
              <w:left w:val="nil"/>
              <w:bottom w:val="single" w:color="auto" w:sz="2" w:space="0"/>
              <w:right w:val="single" w:color="auto" w:sz="2" w:space="0"/>
            </w:tcBorders>
            <w:vAlign w:val="top"/>
          </w:tcPr>
          <w:p>
            <w:pPr>
              <w:widowControl/>
              <w:jc w:val="center"/>
              <w:rPr>
                <w:color w:val="auto"/>
                <w:szCs w:val="21"/>
              </w:rPr>
            </w:pPr>
            <w:r>
              <w:rPr>
                <w:color w:val="auto"/>
                <w:szCs w:val="21"/>
              </w:rPr>
              <w:t>2</w:t>
            </w:r>
          </w:p>
        </w:tc>
        <w:tc>
          <w:tcPr>
            <w:tcW w:w="907" w:type="dxa"/>
            <w:tcBorders>
              <w:top w:val="nil"/>
              <w:left w:val="nil"/>
              <w:bottom w:val="single" w:color="auto" w:sz="2" w:space="0"/>
              <w:right w:val="single" w:color="auto" w:sz="2" w:space="0"/>
            </w:tcBorders>
            <w:vAlign w:val="top"/>
          </w:tcPr>
          <w:p>
            <w:pPr>
              <w:widowControl/>
              <w:jc w:val="center"/>
              <w:rPr>
                <w:color w:val="auto"/>
                <w:szCs w:val="21"/>
              </w:rPr>
            </w:pPr>
            <w:r>
              <w:rPr>
                <w:rFonts w:hint="eastAsia"/>
                <w:color w:val="auto"/>
                <w:szCs w:val="21"/>
              </w:rPr>
              <w:t>是</w:t>
            </w:r>
          </w:p>
        </w:tc>
        <w:tc>
          <w:tcPr>
            <w:tcW w:w="792" w:type="dxa"/>
            <w:tcBorders>
              <w:top w:val="nil"/>
              <w:left w:val="nil"/>
              <w:bottom w:val="single" w:color="auto" w:sz="2" w:space="0"/>
              <w:right w:val="single" w:color="auto" w:sz="2" w:space="0"/>
            </w:tcBorders>
            <w:vAlign w:val="center"/>
          </w:tcPr>
          <w:p>
            <w:pPr>
              <w:widowControl/>
              <w:jc w:val="center"/>
              <w:rPr>
                <w:color w:val="auto"/>
                <w:szCs w:val="21"/>
              </w:rPr>
            </w:pPr>
            <w:r>
              <w:rPr>
                <w:rFonts w:hint="eastAsia"/>
                <w:color w:val="auto"/>
              </w:rPr>
              <w:t>是</w:t>
            </w:r>
          </w:p>
        </w:tc>
      </w:tr>
    </w:tbl>
    <w:p>
      <w:pPr>
        <w:keepNext/>
        <w:keepLines/>
        <w:numPr>
          <w:ilvl w:val="0"/>
          <w:numId w:val="0"/>
        </w:numPr>
        <w:spacing w:before="260" w:after="260" w:line="415" w:lineRule="auto"/>
        <w:ind w:leftChars="0"/>
        <w:outlineLvl w:val="1"/>
        <w:rPr>
          <w:rFonts w:hint="eastAsia" w:ascii="等线 Light" w:hAnsi="等线 Light" w:eastAsia="宋体"/>
          <w:b/>
          <w:bCs/>
          <w:szCs w:val="32"/>
          <w:lang w:val="en-US" w:eastAsia="zh-CN"/>
        </w:rPr>
      </w:pPr>
      <w:r>
        <w:rPr>
          <w:rFonts w:hint="eastAsia" w:ascii="等线 Light" w:hAnsi="等线 Light" w:eastAsia="宋体"/>
          <w:b/>
          <w:bCs/>
          <w:szCs w:val="32"/>
          <w:lang w:val="en-US" w:eastAsia="zh-CN"/>
        </w:rPr>
        <w:t>A.4输出文件</w:t>
      </w:r>
    </w:p>
    <w:p>
      <w:pPr>
        <w:ind w:firstLine="560" w:firstLineChars="200"/>
        <w:rPr>
          <w:color w:val="auto"/>
          <w:sz w:val="28"/>
          <w:szCs w:val="28"/>
        </w:rPr>
      </w:pPr>
      <w:r>
        <w:rPr>
          <w:rFonts w:hint="eastAsia"/>
          <w:color w:val="auto"/>
          <w:sz w:val="28"/>
          <w:szCs w:val="28"/>
        </w:rPr>
        <w:t>采用输出符合国家要求的版式文件，为方便解析和统计，同步输出</w:t>
      </w:r>
      <w:r>
        <w:rPr>
          <w:color w:val="auto"/>
          <w:sz w:val="28"/>
          <w:szCs w:val="28"/>
        </w:rPr>
        <w:t>XML</w:t>
      </w:r>
      <w:r>
        <w:rPr>
          <w:rFonts w:hint="eastAsia"/>
          <w:color w:val="auto"/>
          <w:sz w:val="28"/>
          <w:szCs w:val="28"/>
        </w:rPr>
        <w:t>描述文件。</w:t>
      </w:r>
    </w:p>
    <w:p>
      <w:pPr>
        <w:keepNext/>
        <w:keepLines/>
        <w:numPr>
          <w:ilvl w:val="0"/>
          <w:numId w:val="0"/>
        </w:numPr>
        <w:spacing w:before="260" w:after="260" w:line="415" w:lineRule="auto"/>
        <w:ind w:leftChars="0"/>
        <w:outlineLvl w:val="2"/>
        <w:rPr>
          <w:rFonts w:hint="eastAsia" w:ascii="等线" w:hAnsi="等线" w:eastAsia="宋体"/>
          <w:b/>
          <w:bCs/>
          <w:szCs w:val="32"/>
          <w:lang w:val="en-US" w:eastAsia="zh-CN"/>
        </w:rPr>
      </w:pPr>
      <w:r>
        <w:rPr>
          <w:rFonts w:hint="eastAsia" w:ascii="等线" w:hAnsi="等线" w:eastAsia="宋体"/>
          <w:b/>
          <w:bCs/>
          <w:szCs w:val="32"/>
          <w:lang w:val="en-US" w:eastAsia="zh-CN"/>
        </w:rPr>
        <w:t>A.4.1财务模块元素格式</w:t>
      </w:r>
    </w:p>
    <w:p>
      <w:pPr>
        <w:rPr>
          <w:color w:val="auto"/>
        </w:rPr>
      </w:pPr>
      <w:r>
        <w:rPr>
          <w:rFonts w:hint="eastAsia"/>
          <w:color w:val="auto"/>
        </w:rPr>
        <w:t>记账凭证：</w:t>
      </w:r>
    </w:p>
    <w:p>
      <w:pPr>
        <w:rPr>
          <w:color w:val="auto"/>
        </w:rPr>
      </w:pPr>
    </w:p>
    <w:p>
      <w:pPr>
        <w:rPr>
          <w:color w:val="auto"/>
        </w:rPr>
      </w:pPr>
      <w:r>
        <w:rPr>
          <w:color w:val="auto"/>
        </w:rPr>
        <w:drawing>
          <wp:inline distT="0" distB="0" distL="114300" distR="114300">
            <wp:extent cx="5279390" cy="1593850"/>
            <wp:effectExtent l="0" t="0" r="16510" b="6350"/>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8"/>
                    <a:stretch>
                      <a:fillRect/>
                    </a:stretch>
                  </pic:blipFill>
                  <pic:spPr>
                    <a:xfrm>
                      <a:off x="0" y="0"/>
                      <a:ext cx="5279390" cy="1593850"/>
                    </a:xfrm>
                    <a:prstGeom prst="rect">
                      <a:avLst/>
                    </a:prstGeom>
                    <a:noFill/>
                    <a:ln>
                      <a:noFill/>
                    </a:ln>
                  </pic:spPr>
                </pic:pic>
              </a:graphicData>
            </a:graphic>
          </wp:inline>
        </w:drawing>
      </w:r>
    </w:p>
    <w:p>
      <w:pPr>
        <w:rPr>
          <w:color w:val="auto"/>
        </w:rPr>
      </w:pPr>
      <w:r>
        <w:rPr>
          <w:rFonts w:hint="eastAsia"/>
          <w:color w:val="auto"/>
        </w:rPr>
        <w:t>科目余额表：</w:t>
      </w:r>
    </w:p>
    <w:p>
      <w:pPr>
        <w:rPr>
          <w:color w:val="auto"/>
        </w:rPr>
      </w:pPr>
      <w:r>
        <w:rPr>
          <w:color w:val="auto"/>
        </w:rPr>
        <w:drawing>
          <wp:inline distT="0" distB="0" distL="114300" distR="114300">
            <wp:extent cx="5279390" cy="1917065"/>
            <wp:effectExtent l="0" t="0" r="16510" b="698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9"/>
                    <a:stretch>
                      <a:fillRect/>
                    </a:stretch>
                  </pic:blipFill>
                  <pic:spPr>
                    <a:xfrm>
                      <a:off x="0" y="0"/>
                      <a:ext cx="5279390" cy="1917065"/>
                    </a:xfrm>
                    <a:prstGeom prst="rect">
                      <a:avLst/>
                    </a:prstGeom>
                    <a:noFill/>
                    <a:ln>
                      <a:noFill/>
                    </a:ln>
                  </pic:spPr>
                </pic:pic>
              </a:graphicData>
            </a:graphic>
          </wp:inline>
        </w:drawing>
      </w:r>
    </w:p>
    <w:p>
      <w:pPr>
        <w:keepNext/>
        <w:keepLines/>
        <w:numPr>
          <w:ilvl w:val="0"/>
          <w:numId w:val="0"/>
        </w:numPr>
        <w:spacing w:before="260" w:after="260" w:line="415" w:lineRule="auto"/>
        <w:ind w:leftChars="0"/>
        <w:outlineLvl w:val="2"/>
        <w:rPr>
          <w:rFonts w:hint="eastAsia" w:ascii="等线" w:hAnsi="等线" w:eastAsia="宋体"/>
          <w:b/>
          <w:bCs/>
          <w:szCs w:val="32"/>
          <w:lang w:val="en-US" w:eastAsia="zh-CN"/>
        </w:rPr>
      </w:pPr>
      <w:r>
        <w:rPr>
          <w:rFonts w:hint="eastAsia" w:ascii="等线" w:hAnsi="等线" w:eastAsia="宋体"/>
          <w:b/>
          <w:bCs/>
          <w:szCs w:val="32"/>
          <w:lang w:val="en-US" w:eastAsia="zh-CN"/>
        </w:rPr>
        <w:t>A.4.2资金模块元素格式</w:t>
      </w:r>
    </w:p>
    <w:p>
      <w:pPr>
        <w:rPr>
          <w:color w:val="auto"/>
        </w:rPr>
      </w:pPr>
      <w:r>
        <w:rPr>
          <w:rFonts w:hint="eastAsia"/>
          <w:color w:val="auto"/>
        </w:rPr>
        <w:t>银行存款日余额表：</w:t>
      </w:r>
    </w:p>
    <w:p>
      <w:pPr>
        <w:rPr>
          <w:color w:val="auto"/>
        </w:rPr>
      </w:pPr>
      <w:r>
        <w:rPr>
          <w:color w:val="auto"/>
        </w:rPr>
        <w:drawing>
          <wp:inline distT="0" distB="0" distL="114300" distR="114300">
            <wp:extent cx="5279390" cy="1686560"/>
            <wp:effectExtent l="0" t="0" r="16510" b="8890"/>
            <wp:docPr id="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true"/>
                    </pic:cNvPicPr>
                  </pic:nvPicPr>
                  <pic:blipFill>
                    <a:blip r:embed="rId10"/>
                    <a:stretch>
                      <a:fillRect/>
                    </a:stretch>
                  </pic:blipFill>
                  <pic:spPr>
                    <a:xfrm>
                      <a:off x="0" y="0"/>
                      <a:ext cx="5279390" cy="1686560"/>
                    </a:xfrm>
                    <a:prstGeom prst="rect">
                      <a:avLst/>
                    </a:prstGeom>
                    <a:noFill/>
                    <a:ln>
                      <a:noFill/>
                    </a:ln>
                  </pic:spPr>
                </pic:pic>
              </a:graphicData>
            </a:graphic>
          </wp:inline>
        </w:drawing>
      </w:r>
    </w:p>
    <w:p>
      <w:pPr>
        <w:rPr>
          <w:color w:val="auto"/>
        </w:rPr>
      </w:pPr>
      <w:r>
        <w:rPr>
          <w:rFonts w:hint="eastAsia"/>
          <w:color w:val="auto"/>
        </w:rPr>
        <w:t>现金日余额表：</w:t>
      </w:r>
    </w:p>
    <w:p>
      <w:pPr>
        <w:rPr>
          <w:color w:val="auto"/>
        </w:rPr>
      </w:pPr>
      <w:r>
        <w:rPr>
          <w:color w:val="auto"/>
        </w:rPr>
        <w:drawing>
          <wp:inline distT="0" distB="0" distL="114300" distR="114300">
            <wp:extent cx="5280660" cy="1535430"/>
            <wp:effectExtent l="0" t="0" r="15240" b="7620"/>
            <wp:docPr id="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true"/>
                    </pic:cNvPicPr>
                  </pic:nvPicPr>
                  <pic:blipFill>
                    <a:blip r:embed="rId11"/>
                    <a:stretch>
                      <a:fillRect/>
                    </a:stretch>
                  </pic:blipFill>
                  <pic:spPr>
                    <a:xfrm>
                      <a:off x="0" y="0"/>
                      <a:ext cx="5280660" cy="1535430"/>
                    </a:xfrm>
                    <a:prstGeom prst="rect">
                      <a:avLst/>
                    </a:prstGeom>
                    <a:noFill/>
                    <a:ln>
                      <a:noFill/>
                    </a:ln>
                  </pic:spPr>
                </pic:pic>
              </a:graphicData>
            </a:graphic>
          </wp:inline>
        </w:drawing>
      </w:r>
    </w:p>
    <w:p>
      <w:pPr>
        <w:rPr>
          <w:color w:val="auto"/>
        </w:rPr>
      </w:pPr>
      <w:r>
        <w:rPr>
          <w:rFonts w:hint="eastAsia"/>
          <w:color w:val="auto"/>
        </w:rPr>
        <w:t>银行对账单：</w:t>
      </w:r>
    </w:p>
    <w:p>
      <w:pPr>
        <w:rPr>
          <w:color w:val="auto"/>
        </w:rPr>
      </w:pPr>
      <w:r>
        <w:rPr>
          <w:color w:val="auto"/>
        </w:rPr>
        <w:drawing>
          <wp:inline distT="0" distB="0" distL="114300" distR="114300">
            <wp:extent cx="5274945" cy="1205865"/>
            <wp:effectExtent l="0" t="0" r="1905" b="13335"/>
            <wp:docPr id="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true"/>
                    </pic:cNvPicPr>
                  </pic:nvPicPr>
                  <pic:blipFill>
                    <a:blip r:embed="rId12"/>
                    <a:stretch>
                      <a:fillRect/>
                    </a:stretch>
                  </pic:blipFill>
                  <pic:spPr>
                    <a:xfrm>
                      <a:off x="0" y="0"/>
                      <a:ext cx="5274945" cy="1205865"/>
                    </a:xfrm>
                    <a:prstGeom prst="rect">
                      <a:avLst/>
                    </a:prstGeom>
                    <a:noFill/>
                    <a:ln>
                      <a:noFill/>
                    </a:ln>
                  </pic:spPr>
                </pic:pic>
              </a:graphicData>
            </a:graphic>
          </wp:inline>
        </w:drawing>
      </w:r>
    </w:p>
    <w:p>
      <w:pPr>
        <w:rPr>
          <w:color w:val="auto"/>
        </w:rPr>
      </w:pPr>
      <w:r>
        <w:rPr>
          <w:rFonts w:hint="eastAsia"/>
          <w:color w:val="auto"/>
        </w:rPr>
        <w:t>银行存款余额调节表：</w:t>
      </w:r>
    </w:p>
    <w:p>
      <w:pPr>
        <w:rPr>
          <w:color w:val="auto"/>
        </w:rPr>
      </w:pPr>
      <w:r>
        <w:rPr>
          <w:color w:val="auto"/>
        </w:rPr>
        <w:drawing>
          <wp:inline distT="0" distB="0" distL="114300" distR="114300">
            <wp:extent cx="5278755" cy="1674495"/>
            <wp:effectExtent l="0" t="0" r="17145" b="1905"/>
            <wp:docPr id="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true"/>
                    </pic:cNvPicPr>
                  </pic:nvPicPr>
                  <pic:blipFill>
                    <a:blip r:embed="rId13"/>
                    <a:stretch>
                      <a:fillRect/>
                    </a:stretch>
                  </pic:blipFill>
                  <pic:spPr>
                    <a:xfrm>
                      <a:off x="0" y="0"/>
                      <a:ext cx="5278755" cy="1674495"/>
                    </a:xfrm>
                    <a:prstGeom prst="rect">
                      <a:avLst/>
                    </a:prstGeom>
                    <a:noFill/>
                    <a:ln>
                      <a:noFill/>
                    </a:ln>
                  </pic:spPr>
                </pic:pic>
              </a:graphicData>
            </a:graphic>
          </wp:inline>
        </w:drawing>
      </w:r>
    </w:p>
    <w:p>
      <w:pPr>
        <w:rPr>
          <w:color w:val="auto"/>
        </w:rPr>
      </w:pPr>
      <w:r>
        <w:rPr>
          <w:rFonts w:hint="eastAsia"/>
          <w:color w:val="auto"/>
        </w:rPr>
        <w:t>银行存款余额调节表未达账项明细：</w:t>
      </w:r>
    </w:p>
    <w:p>
      <w:pPr>
        <w:rPr>
          <w:color w:val="auto"/>
        </w:rPr>
      </w:pPr>
      <w:r>
        <w:rPr>
          <w:color w:val="auto"/>
        </w:rPr>
        <w:drawing>
          <wp:inline distT="0" distB="0" distL="114300" distR="114300">
            <wp:extent cx="5277485" cy="1407795"/>
            <wp:effectExtent l="0" t="0" r="18415" b="1905"/>
            <wp:docPr id="7"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true"/>
                    </pic:cNvPicPr>
                  </pic:nvPicPr>
                  <pic:blipFill>
                    <a:blip r:embed="rId14"/>
                    <a:stretch>
                      <a:fillRect/>
                    </a:stretch>
                  </pic:blipFill>
                  <pic:spPr>
                    <a:xfrm>
                      <a:off x="0" y="0"/>
                      <a:ext cx="5277485" cy="1407795"/>
                    </a:xfrm>
                    <a:prstGeom prst="rect">
                      <a:avLst/>
                    </a:prstGeom>
                    <a:noFill/>
                    <a:ln>
                      <a:noFill/>
                    </a:ln>
                  </pic:spPr>
                </pic:pic>
              </a:graphicData>
            </a:graphic>
          </wp:inline>
        </w:drawing>
      </w:r>
    </w:p>
    <w:p>
      <w:pPr>
        <w:rPr>
          <w:color w:val="auto"/>
        </w:rPr>
      </w:pPr>
      <w:r>
        <w:rPr>
          <w:rFonts w:hint="eastAsia"/>
          <w:color w:val="auto"/>
        </w:rPr>
        <w:t>应收票据备查簿：</w:t>
      </w:r>
    </w:p>
    <w:p>
      <w:pPr>
        <w:rPr>
          <w:color w:val="auto"/>
        </w:rPr>
      </w:pPr>
      <w:r>
        <w:rPr>
          <w:color w:val="auto"/>
        </w:rPr>
        <w:drawing>
          <wp:inline distT="0" distB="0" distL="114300" distR="114300">
            <wp:extent cx="5269865" cy="1270635"/>
            <wp:effectExtent l="0" t="0" r="6985" b="5715"/>
            <wp:docPr id="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true"/>
                    </pic:cNvPicPr>
                  </pic:nvPicPr>
                  <pic:blipFill>
                    <a:blip r:embed="rId15"/>
                    <a:stretch>
                      <a:fillRect/>
                    </a:stretch>
                  </pic:blipFill>
                  <pic:spPr>
                    <a:xfrm>
                      <a:off x="0" y="0"/>
                      <a:ext cx="5269865" cy="1270635"/>
                    </a:xfrm>
                    <a:prstGeom prst="rect">
                      <a:avLst/>
                    </a:prstGeom>
                    <a:noFill/>
                    <a:ln>
                      <a:noFill/>
                    </a:ln>
                  </pic:spPr>
                </pic:pic>
              </a:graphicData>
            </a:graphic>
          </wp:inline>
        </w:drawing>
      </w:r>
    </w:p>
    <w:p>
      <w:pPr>
        <w:rPr>
          <w:color w:val="auto"/>
        </w:rPr>
      </w:pPr>
      <w:r>
        <w:rPr>
          <w:rFonts w:hint="eastAsia"/>
          <w:color w:val="auto"/>
        </w:rPr>
        <w:t>应付票据备查簿：</w:t>
      </w:r>
    </w:p>
    <w:p>
      <w:pPr>
        <w:rPr>
          <w:color w:val="auto"/>
        </w:rPr>
      </w:pPr>
      <w:r>
        <w:rPr>
          <w:color w:val="auto"/>
        </w:rPr>
        <w:drawing>
          <wp:inline distT="0" distB="0" distL="114300" distR="114300">
            <wp:extent cx="5267325" cy="1170940"/>
            <wp:effectExtent l="0" t="0" r="9525" b="10160"/>
            <wp:docPr id="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true"/>
                    </pic:cNvPicPr>
                  </pic:nvPicPr>
                  <pic:blipFill>
                    <a:blip r:embed="rId16"/>
                    <a:stretch>
                      <a:fillRect/>
                    </a:stretch>
                  </pic:blipFill>
                  <pic:spPr>
                    <a:xfrm>
                      <a:off x="0" y="0"/>
                      <a:ext cx="5267325" cy="1170940"/>
                    </a:xfrm>
                    <a:prstGeom prst="rect">
                      <a:avLst/>
                    </a:prstGeom>
                    <a:noFill/>
                    <a:ln>
                      <a:noFill/>
                    </a:ln>
                  </pic:spPr>
                </pic:pic>
              </a:graphicData>
            </a:graphic>
          </wp:inline>
        </w:drawing>
      </w:r>
    </w:p>
    <w:p>
      <w:pPr>
        <w:rPr>
          <w:color w:val="auto"/>
        </w:rPr>
      </w:pPr>
      <w:r>
        <w:rPr>
          <w:rFonts w:hint="eastAsia"/>
          <w:color w:val="auto"/>
        </w:rPr>
        <w:t>银行借款合同：</w:t>
      </w:r>
    </w:p>
    <w:p>
      <w:pPr>
        <w:rPr>
          <w:color w:val="auto"/>
        </w:rPr>
      </w:pPr>
      <w:r>
        <w:rPr>
          <w:color w:val="auto"/>
        </w:rPr>
        <w:drawing>
          <wp:inline distT="0" distB="0" distL="114300" distR="114300">
            <wp:extent cx="5274310" cy="1220470"/>
            <wp:effectExtent l="0" t="0" r="2540" b="17780"/>
            <wp:docPr id="10"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true"/>
                    </pic:cNvPicPr>
                  </pic:nvPicPr>
                  <pic:blipFill>
                    <a:blip r:embed="rId17"/>
                    <a:stretch>
                      <a:fillRect/>
                    </a:stretch>
                  </pic:blipFill>
                  <pic:spPr>
                    <a:xfrm>
                      <a:off x="0" y="0"/>
                      <a:ext cx="5274310" cy="1220470"/>
                    </a:xfrm>
                    <a:prstGeom prst="rect">
                      <a:avLst/>
                    </a:prstGeom>
                    <a:noFill/>
                    <a:ln>
                      <a:noFill/>
                    </a:ln>
                  </pic:spPr>
                </pic:pic>
              </a:graphicData>
            </a:graphic>
          </wp:inline>
        </w:drawing>
      </w:r>
    </w:p>
    <w:p>
      <w:pPr>
        <w:rPr>
          <w:color w:val="auto"/>
        </w:rPr>
      </w:pPr>
      <w:r>
        <w:rPr>
          <w:rFonts w:hint="eastAsia"/>
          <w:color w:val="auto"/>
        </w:rPr>
        <w:t>银行借款放款明细：</w:t>
      </w:r>
    </w:p>
    <w:p>
      <w:pPr>
        <w:rPr>
          <w:color w:val="auto"/>
        </w:rPr>
      </w:pPr>
      <w:r>
        <w:rPr>
          <w:color w:val="auto"/>
        </w:rPr>
        <w:drawing>
          <wp:inline distT="0" distB="0" distL="114300" distR="114300">
            <wp:extent cx="5275580" cy="1270000"/>
            <wp:effectExtent l="0" t="0" r="1270" b="6350"/>
            <wp:docPr id="11"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true"/>
                    </pic:cNvPicPr>
                  </pic:nvPicPr>
                  <pic:blipFill>
                    <a:blip r:embed="rId18"/>
                    <a:stretch>
                      <a:fillRect/>
                    </a:stretch>
                  </pic:blipFill>
                  <pic:spPr>
                    <a:xfrm>
                      <a:off x="0" y="0"/>
                      <a:ext cx="5275580" cy="1270000"/>
                    </a:xfrm>
                    <a:prstGeom prst="rect">
                      <a:avLst/>
                    </a:prstGeom>
                    <a:noFill/>
                    <a:ln>
                      <a:noFill/>
                    </a:ln>
                  </pic:spPr>
                </pic:pic>
              </a:graphicData>
            </a:graphic>
          </wp:inline>
        </w:drawing>
      </w:r>
    </w:p>
    <w:p>
      <w:pPr>
        <w:rPr>
          <w:color w:val="auto"/>
        </w:rPr>
      </w:pPr>
      <w:r>
        <w:rPr>
          <w:rFonts w:hint="eastAsia"/>
          <w:color w:val="auto"/>
        </w:rPr>
        <w:t>银行借款还款明细：</w:t>
      </w:r>
    </w:p>
    <w:p>
      <w:pPr>
        <w:rPr>
          <w:color w:val="auto"/>
        </w:rPr>
      </w:pPr>
      <w:r>
        <w:rPr>
          <w:color w:val="auto"/>
        </w:rPr>
        <w:drawing>
          <wp:inline distT="0" distB="0" distL="114300" distR="114300">
            <wp:extent cx="5276850" cy="1697990"/>
            <wp:effectExtent l="0" t="0" r="0" b="16510"/>
            <wp:docPr id="12"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true"/>
                    </pic:cNvPicPr>
                  </pic:nvPicPr>
                  <pic:blipFill>
                    <a:blip r:embed="rId19"/>
                    <a:stretch>
                      <a:fillRect/>
                    </a:stretch>
                  </pic:blipFill>
                  <pic:spPr>
                    <a:xfrm>
                      <a:off x="0" y="0"/>
                      <a:ext cx="5276850" cy="1697990"/>
                    </a:xfrm>
                    <a:prstGeom prst="rect">
                      <a:avLst/>
                    </a:prstGeom>
                    <a:noFill/>
                    <a:ln>
                      <a:noFill/>
                    </a:ln>
                  </pic:spPr>
                </pic:pic>
              </a:graphicData>
            </a:graphic>
          </wp:inline>
        </w:drawing>
      </w:r>
    </w:p>
    <w:p>
      <w:pPr>
        <w:rPr>
          <w:color w:val="auto"/>
        </w:rPr>
      </w:pPr>
      <w:r>
        <w:rPr>
          <w:rFonts w:hint="eastAsia"/>
          <w:color w:val="auto"/>
        </w:rPr>
        <w:t>委托贷款合同：</w:t>
      </w:r>
    </w:p>
    <w:p>
      <w:pPr>
        <w:rPr>
          <w:color w:val="auto"/>
        </w:rPr>
      </w:pPr>
      <w:r>
        <w:rPr>
          <w:color w:val="auto"/>
        </w:rPr>
        <w:drawing>
          <wp:inline distT="0" distB="0" distL="114300" distR="114300">
            <wp:extent cx="5278755" cy="1475740"/>
            <wp:effectExtent l="0" t="0" r="17145" b="10160"/>
            <wp:docPr id="13"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true"/>
                    </pic:cNvPicPr>
                  </pic:nvPicPr>
                  <pic:blipFill>
                    <a:blip r:embed="rId20"/>
                    <a:stretch>
                      <a:fillRect/>
                    </a:stretch>
                  </pic:blipFill>
                  <pic:spPr>
                    <a:xfrm>
                      <a:off x="0" y="0"/>
                      <a:ext cx="5278755" cy="1475740"/>
                    </a:xfrm>
                    <a:prstGeom prst="rect">
                      <a:avLst/>
                    </a:prstGeom>
                    <a:noFill/>
                    <a:ln>
                      <a:noFill/>
                    </a:ln>
                  </pic:spPr>
                </pic:pic>
              </a:graphicData>
            </a:graphic>
          </wp:inline>
        </w:drawing>
      </w:r>
    </w:p>
    <w:p>
      <w:pPr>
        <w:rPr>
          <w:color w:val="auto"/>
        </w:rPr>
      </w:pPr>
      <w:r>
        <w:rPr>
          <w:rFonts w:hint="eastAsia"/>
          <w:color w:val="auto"/>
        </w:rPr>
        <w:t>委托贷款放款明细：</w:t>
      </w:r>
    </w:p>
    <w:p>
      <w:pPr>
        <w:rPr>
          <w:color w:val="auto"/>
        </w:rPr>
      </w:pPr>
      <w:r>
        <w:rPr>
          <w:color w:val="auto"/>
        </w:rPr>
        <w:drawing>
          <wp:inline distT="0" distB="0" distL="114300" distR="114300">
            <wp:extent cx="5278120" cy="2366010"/>
            <wp:effectExtent l="0" t="0" r="17780" b="15240"/>
            <wp:docPr id="14"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true"/>
                    </pic:cNvPicPr>
                  </pic:nvPicPr>
                  <pic:blipFill>
                    <a:blip r:embed="rId21"/>
                    <a:stretch>
                      <a:fillRect/>
                    </a:stretch>
                  </pic:blipFill>
                  <pic:spPr>
                    <a:xfrm>
                      <a:off x="0" y="0"/>
                      <a:ext cx="5278120" cy="2366010"/>
                    </a:xfrm>
                    <a:prstGeom prst="rect">
                      <a:avLst/>
                    </a:prstGeom>
                    <a:noFill/>
                    <a:ln>
                      <a:noFill/>
                    </a:ln>
                  </pic:spPr>
                </pic:pic>
              </a:graphicData>
            </a:graphic>
          </wp:inline>
        </w:drawing>
      </w:r>
    </w:p>
    <w:p>
      <w:pPr>
        <w:rPr>
          <w:color w:val="auto"/>
        </w:rPr>
      </w:pPr>
      <w:r>
        <w:rPr>
          <w:rFonts w:hint="eastAsia"/>
          <w:color w:val="auto"/>
        </w:rPr>
        <w:t>委托贷款还款明细：</w:t>
      </w:r>
    </w:p>
    <w:p>
      <w:pPr>
        <w:rPr>
          <w:color w:val="auto"/>
        </w:rPr>
      </w:pPr>
      <w:r>
        <w:rPr>
          <w:color w:val="auto"/>
        </w:rPr>
        <w:drawing>
          <wp:inline distT="0" distB="0" distL="114300" distR="114300">
            <wp:extent cx="5272405" cy="1689100"/>
            <wp:effectExtent l="0" t="0" r="4445" b="6350"/>
            <wp:docPr id="1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true"/>
                    </pic:cNvPicPr>
                  </pic:nvPicPr>
                  <pic:blipFill>
                    <a:blip r:embed="rId22"/>
                    <a:stretch>
                      <a:fillRect/>
                    </a:stretch>
                  </pic:blipFill>
                  <pic:spPr>
                    <a:xfrm>
                      <a:off x="0" y="0"/>
                      <a:ext cx="5272405" cy="1689100"/>
                    </a:xfrm>
                    <a:prstGeom prst="rect">
                      <a:avLst/>
                    </a:prstGeom>
                    <a:noFill/>
                    <a:ln>
                      <a:noFill/>
                    </a:ln>
                  </pic:spPr>
                </pic:pic>
              </a:graphicData>
            </a:graphic>
          </wp:inline>
        </w:drawing>
      </w:r>
    </w:p>
    <w:p>
      <w:pPr>
        <w:rPr>
          <w:color w:val="auto"/>
        </w:rPr>
      </w:pPr>
      <w:r>
        <w:rPr>
          <w:rFonts w:hint="eastAsia"/>
          <w:color w:val="auto"/>
        </w:rPr>
        <w:t>对外担保备查簿：</w:t>
      </w:r>
    </w:p>
    <w:p>
      <w:pPr>
        <w:rPr>
          <w:color w:val="auto"/>
        </w:rPr>
      </w:pPr>
      <w:r>
        <w:rPr>
          <w:color w:val="auto"/>
        </w:rPr>
        <w:drawing>
          <wp:inline distT="0" distB="0" distL="114300" distR="114300">
            <wp:extent cx="5278755" cy="1410970"/>
            <wp:effectExtent l="0" t="0" r="17145" b="17780"/>
            <wp:docPr id="16"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true"/>
                    </pic:cNvPicPr>
                  </pic:nvPicPr>
                  <pic:blipFill>
                    <a:blip r:embed="rId23"/>
                    <a:stretch>
                      <a:fillRect/>
                    </a:stretch>
                  </pic:blipFill>
                  <pic:spPr>
                    <a:xfrm>
                      <a:off x="0" y="0"/>
                      <a:ext cx="5278755" cy="1410970"/>
                    </a:xfrm>
                    <a:prstGeom prst="rect">
                      <a:avLst/>
                    </a:prstGeom>
                    <a:noFill/>
                    <a:ln>
                      <a:noFill/>
                    </a:ln>
                  </pic:spPr>
                </pic:pic>
              </a:graphicData>
            </a:graphic>
          </wp:inline>
        </w:drawing>
      </w:r>
    </w:p>
    <w:p>
      <w:pPr>
        <w:rPr>
          <w:color w:val="auto"/>
        </w:rPr>
      </w:pPr>
      <w:r>
        <w:rPr>
          <w:rFonts w:hint="eastAsia"/>
          <w:color w:val="auto"/>
        </w:rPr>
        <w:t>付</w:t>
      </w:r>
      <w:r>
        <w:rPr>
          <w:color w:val="auto"/>
        </w:rPr>
        <w:t>款单</w:t>
      </w:r>
      <w:r>
        <w:rPr>
          <w:rFonts w:hint="eastAsia"/>
          <w:color w:val="auto"/>
        </w:rPr>
        <w:t>：</w:t>
      </w:r>
    </w:p>
    <w:p>
      <w:pPr>
        <w:rPr>
          <w:color w:val="auto"/>
        </w:rPr>
      </w:pPr>
      <w:r>
        <w:rPr>
          <w:color w:val="auto"/>
        </w:rPr>
        <w:drawing>
          <wp:inline distT="0" distB="0" distL="114300" distR="114300">
            <wp:extent cx="5273040" cy="1746250"/>
            <wp:effectExtent l="0" t="0" r="3810" b="6350"/>
            <wp:docPr id="17"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true"/>
                    </pic:cNvPicPr>
                  </pic:nvPicPr>
                  <pic:blipFill>
                    <a:blip r:embed="rId24"/>
                    <a:stretch>
                      <a:fillRect/>
                    </a:stretch>
                  </pic:blipFill>
                  <pic:spPr>
                    <a:xfrm>
                      <a:off x="0" y="0"/>
                      <a:ext cx="5273040" cy="1746250"/>
                    </a:xfrm>
                    <a:prstGeom prst="rect">
                      <a:avLst/>
                    </a:prstGeom>
                    <a:noFill/>
                    <a:ln>
                      <a:noFill/>
                    </a:ln>
                  </pic:spPr>
                </pic:pic>
              </a:graphicData>
            </a:graphic>
          </wp:inline>
        </w:drawing>
      </w:r>
    </w:p>
    <w:p>
      <w:pPr>
        <w:rPr>
          <w:color w:val="auto"/>
        </w:rPr>
      </w:pPr>
      <w:r>
        <w:rPr>
          <w:rFonts w:hint="eastAsia"/>
          <w:color w:val="auto"/>
        </w:rPr>
        <w:t>收</w:t>
      </w:r>
      <w:r>
        <w:rPr>
          <w:color w:val="auto"/>
        </w:rPr>
        <w:t>款单</w:t>
      </w:r>
      <w:r>
        <w:rPr>
          <w:rFonts w:hint="eastAsia"/>
          <w:color w:val="auto"/>
        </w:rPr>
        <w:t>：</w:t>
      </w:r>
    </w:p>
    <w:p>
      <w:pPr>
        <w:rPr>
          <w:color w:val="auto"/>
        </w:rPr>
      </w:pPr>
      <w:r>
        <w:rPr>
          <w:color w:val="auto"/>
        </w:rPr>
        <w:drawing>
          <wp:inline distT="0" distB="0" distL="114300" distR="114300">
            <wp:extent cx="5269865" cy="1685925"/>
            <wp:effectExtent l="0" t="0" r="6985" b="9525"/>
            <wp:docPr id="18"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true"/>
                    </pic:cNvPicPr>
                  </pic:nvPicPr>
                  <pic:blipFill>
                    <a:blip r:embed="rId25"/>
                    <a:stretch>
                      <a:fillRect/>
                    </a:stretch>
                  </pic:blipFill>
                  <pic:spPr>
                    <a:xfrm>
                      <a:off x="0" y="0"/>
                      <a:ext cx="5269865" cy="1685925"/>
                    </a:xfrm>
                    <a:prstGeom prst="rect">
                      <a:avLst/>
                    </a:prstGeom>
                    <a:noFill/>
                    <a:ln>
                      <a:noFill/>
                    </a:ln>
                  </pic:spPr>
                </pic:pic>
              </a:graphicData>
            </a:graphic>
          </wp:inline>
        </w:drawing>
      </w:r>
    </w:p>
    <w:p>
      <w:pPr>
        <w:rPr>
          <w:color w:val="auto"/>
        </w:rPr>
      </w:pPr>
      <w:r>
        <w:rPr>
          <w:rFonts w:hint="eastAsia"/>
          <w:color w:val="auto"/>
        </w:rPr>
        <w:t>转</w:t>
      </w:r>
      <w:r>
        <w:rPr>
          <w:color w:val="auto"/>
        </w:rPr>
        <w:t>账单</w:t>
      </w:r>
      <w:r>
        <w:rPr>
          <w:rFonts w:hint="eastAsia"/>
          <w:color w:val="auto"/>
        </w:rPr>
        <w:t>：</w:t>
      </w:r>
    </w:p>
    <w:p>
      <w:pPr>
        <w:rPr>
          <w:color w:val="auto"/>
        </w:rPr>
      </w:pPr>
      <w:r>
        <w:rPr>
          <w:color w:val="auto"/>
        </w:rPr>
        <w:drawing>
          <wp:inline distT="0" distB="0" distL="114300" distR="114300">
            <wp:extent cx="5274310" cy="1480820"/>
            <wp:effectExtent l="0" t="0" r="2540" b="5080"/>
            <wp:docPr id="19"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true"/>
                    </pic:cNvPicPr>
                  </pic:nvPicPr>
                  <pic:blipFill>
                    <a:blip r:embed="rId26"/>
                    <a:stretch>
                      <a:fillRect/>
                    </a:stretch>
                  </pic:blipFill>
                  <pic:spPr>
                    <a:xfrm>
                      <a:off x="0" y="0"/>
                      <a:ext cx="5274310" cy="1480820"/>
                    </a:xfrm>
                    <a:prstGeom prst="rect">
                      <a:avLst/>
                    </a:prstGeom>
                    <a:noFill/>
                    <a:ln>
                      <a:noFill/>
                    </a:ln>
                  </pic:spPr>
                </pic:pic>
              </a:graphicData>
            </a:graphic>
          </wp:inline>
        </w:drawing>
      </w:r>
    </w:p>
    <w:p>
      <w:pPr>
        <w:keepNext/>
        <w:keepLines/>
        <w:numPr>
          <w:ilvl w:val="0"/>
          <w:numId w:val="0"/>
        </w:numPr>
        <w:spacing w:before="260" w:after="260" w:line="415" w:lineRule="auto"/>
        <w:ind w:leftChars="0"/>
        <w:outlineLvl w:val="2"/>
        <w:rPr>
          <w:rFonts w:hint="eastAsia" w:ascii="等线" w:hAnsi="等线" w:eastAsia="宋体"/>
          <w:b/>
          <w:bCs/>
          <w:szCs w:val="32"/>
          <w:lang w:val="en-US" w:eastAsia="zh-CN"/>
        </w:rPr>
      </w:pPr>
      <w:r>
        <w:rPr>
          <w:rFonts w:hint="eastAsia" w:ascii="等线" w:hAnsi="等线" w:eastAsia="宋体"/>
          <w:b/>
          <w:bCs/>
          <w:szCs w:val="32"/>
          <w:lang w:val="en-US" w:eastAsia="zh-CN"/>
        </w:rPr>
        <w:t>A.4.3费用管理模块元素格式</w:t>
      </w:r>
    </w:p>
    <w:p>
      <w:pPr>
        <w:rPr>
          <w:color w:val="auto"/>
        </w:rPr>
      </w:pPr>
      <w:r>
        <w:rPr>
          <w:rFonts w:hint="eastAsia"/>
          <w:color w:val="auto"/>
        </w:rPr>
        <w:t>报销单：</w:t>
      </w:r>
    </w:p>
    <w:p>
      <w:pPr>
        <w:rPr>
          <w:color w:val="auto"/>
        </w:rPr>
      </w:pPr>
      <w:r>
        <w:rPr>
          <w:color w:val="auto"/>
        </w:rPr>
        <w:drawing>
          <wp:inline distT="0" distB="0" distL="114300" distR="114300">
            <wp:extent cx="5280025" cy="1873885"/>
            <wp:effectExtent l="0" t="0" r="15875" b="12065"/>
            <wp:docPr id="20"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true"/>
                    </pic:cNvPicPr>
                  </pic:nvPicPr>
                  <pic:blipFill>
                    <a:blip r:embed="rId27"/>
                    <a:stretch>
                      <a:fillRect/>
                    </a:stretch>
                  </pic:blipFill>
                  <pic:spPr>
                    <a:xfrm>
                      <a:off x="0" y="0"/>
                      <a:ext cx="5280025" cy="1873885"/>
                    </a:xfrm>
                    <a:prstGeom prst="rect">
                      <a:avLst/>
                    </a:prstGeom>
                    <a:noFill/>
                    <a:ln>
                      <a:noFill/>
                    </a:ln>
                  </pic:spPr>
                </pic:pic>
              </a:graphicData>
            </a:graphic>
          </wp:inline>
        </w:drawing>
      </w:r>
    </w:p>
    <w:p>
      <w:pPr>
        <w:rPr>
          <w:color w:val="auto"/>
        </w:rPr>
      </w:pPr>
      <w:r>
        <w:rPr>
          <w:rFonts w:hint="eastAsia"/>
          <w:color w:val="auto"/>
        </w:rPr>
        <w:t>借款单：</w:t>
      </w:r>
    </w:p>
    <w:p>
      <w:pPr>
        <w:rPr>
          <w:color w:val="auto"/>
        </w:rPr>
      </w:pPr>
    </w:p>
    <w:p>
      <w:pPr>
        <w:rPr>
          <w:color w:val="auto"/>
        </w:rPr>
      </w:pPr>
      <w:r>
        <w:rPr>
          <w:color w:val="auto"/>
        </w:rPr>
        <w:drawing>
          <wp:inline distT="0" distB="0" distL="114300" distR="114300">
            <wp:extent cx="5280660" cy="1875790"/>
            <wp:effectExtent l="0" t="0" r="15240" b="10160"/>
            <wp:docPr id="21"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true"/>
                    </pic:cNvPicPr>
                  </pic:nvPicPr>
                  <pic:blipFill>
                    <a:blip r:embed="rId28"/>
                    <a:stretch>
                      <a:fillRect/>
                    </a:stretch>
                  </pic:blipFill>
                  <pic:spPr>
                    <a:xfrm>
                      <a:off x="0" y="0"/>
                      <a:ext cx="5280660" cy="1875790"/>
                    </a:xfrm>
                    <a:prstGeom prst="rect">
                      <a:avLst/>
                    </a:prstGeom>
                    <a:noFill/>
                    <a:ln>
                      <a:noFill/>
                    </a:ln>
                  </pic:spPr>
                </pic:pic>
              </a:graphicData>
            </a:graphic>
          </wp:inline>
        </w:drawing>
      </w:r>
    </w:p>
    <w:p>
      <w:pPr>
        <w:rPr>
          <w:color w:val="auto"/>
        </w:rPr>
      </w:pPr>
      <w:r>
        <w:rPr>
          <w:rFonts w:hint="eastAsia"/>
          <w:color w:val="auto"/>
        </w:rPr>
        <w:t>费用预提单：</w:t>
      </w:r>
    </w:p>
    <w:p>
      <w:pPr>
        <w:rPr>
          <w:color w:val="auto"/>
        </w:rPr>
      </w:pPr>
    </w:p>
    <w:p>
      <w:pPr>
        <w:rPr>
          <w:color w:val="auto"/>
        </w:rPr>
      </w:pPr>
      <w:r>
        <w:rPr>
          <w:color w:val="auto"/>
        </w:rPr>
        <w:drawing>
          <wp:inline distT="0" distB="0" distL="114300" distR="114300">
            <wp:extent cx="5278755" cy="1762760"/>
            <wp:effectExtent l="0" t="0" r="17145" b="8890"/>
            <wp:docPr id="22"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true"/>
                    </pic:cNvPicPr>
                  </pic:nvPicPr>
                  <pic:blipFill>
                    <a:blip r:embed="rId29"/>
                    <a:stretch>
                      <a:fillRect/>
                    </a:stretch>
                  </pic:blipFill>
                  <pic:spPr>
                    <a:xfrm>
                      <a:off x="0" y="0"/>
                      <a:ext cx="5278755" cy="1762760"/>
                    </a:xfrm>
                    <a:prstGeom prst="rect">
                      <a:avLst/>
                    </a:prstGeom>
                    <a:noFill/>
                    <a:ln>
                      <a:noFill/>
                    </a:ln>
                  </pic:spPr>
                </pic:pic>
              </a:graphicData>
            </a:graphic>
          </wp:inline>
        </w:drawing>
      </w:r>
    </w:p>
    <w:p>
      <w:pPr>
        <w:rPr>
          <w:color w:val="auto"/>
        </w:rPr>
      </w:pPr>
      <w:r>
        <w:rPr>
          <w:rFonts w:hint="eastAsia"/>
          <w:color w:val="auto"/>
        </w:rPr>
        <w:t>费用调整单：</w:t>
      </w:r>
    </w:p>
    <w:p>
      <w:pPr>
        <w:rPr>
          <w:color w:val="auto"/>
        </w:rPr>
      </w:pPr>
      <w:r>
        <w:rPr>
          <w:color w:val="auto"/>
        </w:rPr>
        <w:drawing>
          <wp:inline distT="0" distB="0" distL="114300" distR="114300">
            <wp:extent cx="5271770" cy="1824355"/>
            <wp:effectExtent l="0" t="0" r="5080" b="4445"/>
            <wp:docPr id="23"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true"/>
                    </pic:cNvPicPr>
                  </pic:nvPicPr>
                  <pic:blipFill>
                    <a:blip r:embed="rId30"/>
                    <a:stretch>
                      <a:fillRect/>
                    </a:stretch>
                  </pic:blipFill>
                  <pic:spPr>
                    <a:xfrm>
                      <a:off x="0" y="0"/>
                      <a:ext cx="5271770" cy="1824355"/>
                    </a:xfrm>
                    <a:prstGeom prst="rect">
                      <a:avLst/>
                    </a:prstGeom>
                    <a:noFill/>
                    <a:ln>
                      <a:noFill/>
                    </a:ln>
                  </pic:spPr>
                </pic:pic>
              </a:graphicData>
            </a:graphic>
          </wp:inline>
        </w:drawing>
      </w:r>
    </w:p>
    <w:p>
      <w:pPr>
        <w:rPr>
          <w:color w:val="auto"/>
        </w:rPr>
      </w:pPr>
      <w:r>
        <w:rPr>
          <w:rFonts w:hint="eastAsia"/>
          <w:color w:val="auto"/>
        </w:rPr>
        <w:t>费用明细账：</w:t>
      </w:r>
    </w:p>
    <w:p>
      <w:pPr>
        <w:rPr>
          <w:color w:val="auto"/>
        </w:rPr>
      </w:pPr>
      <w:r>
        <w:rPr>
          <w:color w:val="auto"/>
        </w:rPr>
        <w:drawing>
          <wp:inline distT="0" distB="0" distL="114300" distR="114300">
            <wp:extent cx="5273040" cy="374650"/>
            <wp:effectExtent l="0" t="0" r="3810" b="6350"/>
            <wp:docPr id="24"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true"/>
                    </pic:cNvPicPr>
                  </pic:nvPicPr>
                  <pic:blipFill>
                    <a:blip r:embed="rId31"/>
                    <a:stretch>
                      <a:fillRect/>
                    </a:stretch>
                  </pic:blipFill>
                  <pic:spPr>
                    <a:xfrm>
                      <a:off x="0" y="0"/>
                      <a:ext cx="5273040" cy="374650"/>
                    </a:xfrm>
                    <a:prstGeom prst="rect">
                      <a:avLst/>
                    </a:prstGeom>
                    <a:noFill/>
                    <a:ln>
                      <a:noFill/>
                    </a:ln>
                  </pic:spPr>
                </pic:pic>
              </a:graphicData>
            </a:graphic>
          </wp:inline>
        </w:drawing>
      </w:r>
    </w:p>
    <w:p>
      <w:pPr>
        <w:rPr>
          <w:color w:val="auto"/>
        </w:rPr>
      </w:pPr>
    </w:p>
    <w:p>
      <w:pPr>
        <w:rPr>
          <w:color w:val="auto"/>
        </w:rPr>
      </w:pPr>
    </w:p>
    <w:p>
      <w:pPr>
        <w:keepNext/>
        <w:keepLines/>
        <w:numPr>
          <w:ilvl w:val="0"/>
          <w:numId w:val="0"/>
        </w:numPr>
        <w:spacing w:before="260" w:after="260" w:line="415" w:lineRule="auto"/>
        <w:ind w:leftChars="0"/>
        <w:outlineLvl w:val="2"/>
        <w:rPr>
          <w:rFonts w:hint="eastAsia" w:ascii="等线" w:hAnsi="等线" w:eastAsia="宋体"/>
          <w:b/>
          <w:bCs/>
          <w:szCs w:val="32"/>
          <w:lang w:val="en-US" w:eastAsia="zh-CN"/>
        </w:rPr>
      </w:pPr>
      <w:r>
        <w:rPr>
          <w:rFonts w:hint="eastAsia" w:ascii="等线" w:hAnsi="等线" w:eastAsia="宋体"/>
          <w:b/>
          <w:bCs/>
          <w:szCs w:val="32"/>
          <w:lang w:val="en-US" w:eastAsia="zh-CN"/>
        </w:rPr>
        <w:t>A.4.4供应链模块元素格式</w:t>
      </w:r>
    </w:p>
    <w:p>
      <w:pPr>
        <w:rPr>
          <w:color w:val="auto"/>
        </w:rPr>
      </w:pPr>
      <w:r>
        <w:rPr>
          <w:rFonts w:hint="eastAsia"/>
          <w:color w:val="auto"/>
        </w:rPr>
        <w:t>入库单：</w:t>
      </w:r>
    </w:p>
    <w:p>
      <w:pPr>
        <w:rPr>
          <w:color w:val="auto"/>
        </w:rPr>
      </w:pPr>
      <w:r>
        <w:rPr>
          <w:color w:val="auto"/>
        </w:rPr>
        <w:drawing>
          <wp:inline distT="0" distB="0" distL="114300" distR="114300">
            <wp:extent cx="5267960" cy="1737995"/>
            <wp:effectExtent l="0" t="0" r="8890" b="14605"/>
            <wp:docPr id="25"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true"/>
                    </pic:cNvPicPr>
                  </pic:nvPicPr>
                  <pic:blipFill>
                    <a:blip r:embed="rId32"/>
                    <a:stretch>
                      <a:fillRect/>
                    </a:stretch>
                  </pic:blipFill>
                  <pic:spPr>
                    <a:xfrm>
                      <a:off x="0" y="0"/>
                      <a:ext cx="5267960" cy="1737995"/>
                    </a:xfrm>
                    <a:prstGeom prst="rect">
                      <a:avLst/>
                    </a:prstGeom>
                    <a:noFill/>
                    <a:ln>
                      <a:noFill/>
                    </a:ln>
                  </pic:spPr>
                </pic:pic>
              </a:graphicData>
            </a:graphic>
          </wp:inline>
        </w:drawing>
      </w:r>
    </w:p>
    <w:p>
      <w:pPr>
        <w:rPr>
          <w:color w:val="auto"/>
        </w:rPr>
      </w:pPr>
      <w:r>
        <w:rPr>
          <w:rFonts w:hint="eastAsia"/>
          <w:color w:val="auto"/>
        </w:rPr>
        <w:t>出库单：</w:t>
      </w:r>
    </w:p>
    <w:p>
      <w:pPr>
        <w:rPr>
          <w:color w:val="auto"/>
        </w:rPr>
      </w:pPr>
      <w:r>
        <w:rPr>
          <w:color w:val="auto"/>
        </w:rPr>
        <w:drawing>
          <wp:inline distT="0" distB="0" distL="114300" distR="114300">
            <wp:extent cx="5280660" cy="1802130"/>
            <wp:effectExtent l="0" t="0" r="15240" b="7620"/>
            <wp:docPr id="26"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true"/>
                    </pic:cNvPicPr>
                  </pic:nvPicPr>
                  <pic:blipFill>
                    <a:blip r:embed="rId33"/>
                    <a:stretch>
                      <a:fillRect/>
                    </a:stretch>
                  </pic:blipFill>
                  <pic:spPr>
                    <a:xfrm>
                      <a:off x="0" y="0"/>
                      <a:ext cx="5280660" cy="1802130"/>
                    </a:xfrm>
                    <a:prstGeom prst="rect">
                      <a:avLst/>
                    </a:prstGeom>
                    <a:noFill/>
                    <a:ln>
                      <a:noFill/>
                    </a:ln>
                  </pic:spPr>
                </pic:pic>
              </a:graphicData>
            </a:graphic>
          </wp:inline>
        </w:drawing>
      </w:r>
    </w:p>
    <w:p>
      <w:pPr>
        <w:rPr>
          <w:color w:val="auto"/>
        </w:rPr>
      </w:pPr>
      <w:r>
        <w:rPr>
          <w:rFonts w:hint="eastAsia"/>
          <w:color w:val="auto"/>
        </w:rPr>
        <w:t>盘点单：</w:t>
      </w:r>
    </w:p>
    <w:p>
      <w:pPr>
        <w:rPr>
          <w:color w:val="auto"/>
        </w:rPr>
      </w:pPr>
      <w:r>
        <w:rPr>
          <w:color w:val="auto"/>
        </w:rPr>
        <w:drawing>
          <wp:inline distT="0" distB="0" distL="114300" distR="114300">
            <wp:extent cx="5274310" cy="4160520"/>
            <wp:effectExtent l="0" t="0" r="2540" b="11430"/>
            <wp:docPr id="27"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true"/>
                    </pic:cNvPicPr>
                  </pic:nvPicPr>
                  <pic:blipFill>
                    <a:blip r:embed="rId34"/>
                    <a:stretch>
                      <a:fillRect/>
                    </a:stretch>
                  </pic:blipFill>
                  <pic:spPr>
                    <a:xfrm>
                      <a:off x="0" y="0"/>
                      <a:ext cx="5274310" cy="4160520"/>
                    </a:xfrm>
                    <a:prstGeom prst="rect">
                      <a:avLst/>
                    </a:prstGeom>
                    <a:noFill/>
                    <a:ln>
                      <a:noFill/>
                    </a:ln>
                  </pic:spPr>
                </pic:pic>
              </a:graphicData>
            </a:graphic>
          </wp:inline>
        </w:drawing>
      </w:r>
    </w:p>
    <w:p>
      <w:pPr>
        <w:rPr>
          <w:color w:val="auto"/>
        </w:rPr>
      </w:pPr>
      <w:r>
        <w:rPr>
          <w:rFonts w:hint="eastAsia"/>
          <w:color w:val="auto"/>
        </w:rPr>
        <w:t>出入库调整单：</w:t>
      </w:r>
    </w:p>
    <w:p>
      <w:pPr>
        <w:rPr>
          <w:color w:val="auto"/>
        </w:rPr>
      </w:pPr>
      <w:r>
        <w:rPr>
          <w:color w:val="auto"/>
        </w:rPr>
        <w:drawing>
          <wp:inline distT="0" distB="0" distL="114300" distR="114300">
            <wp:extent cx="5274310" cy="2370455"/>
            <wp:effectExtent l="0" t="0" r="2540" b="10795"/>
            <wp:docPr id="28"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true"/>
                    </pic:cNvPicPr>
                  </pic:nvPicPr>
                  <pic:blipFill>
                    <a:blip r:embed="rId35"/>
                    <a:stretch>
                      <a:fillRect/>
                    </a:stretch>
                  </pic:blipFill>
                  <pic:spPr>
                    <a:xfrm>
                      <a:off x="0" y="0"/>
                      <a:ext cx="5274310" cy="2370455"/>
                    </a:xfrm>
                    <a:prstGeom prst="rect">
                      <a:avLst/>
                    </a:prstGeom>
                    <a:noFill/>
                    <a:ln>
                      <a:noFill/>
                    </a:ln>
                  </pic:spPr>
                </pic:pic>
              </a:graphicData>
            </a:graphic>
          </wp:inline>
        </w:drawing>
      </w:r>
    </w:p>
    <w:p>
      <w:pPr>
        <w:rPr>
          <w:color w:val="auto"/>
        </w:rPr>
      </w:pPr>
      <w:r>
        <w:rPr>
          <w:rFonts w:hint="eastAsia"/>
          <w:color w:val="auto"/>
        </w:rPr>
        <w:t>采购订单：</w:t>
      </w:r>
    </w:p>
    <w:p>
      <w:pPr>
        <w:rPr>
          <w:color w:val="auto"/>
        </w:rPr>
      </w:pPr>
      <w:r>
        <w:rPr>
          <w:color w:val="auto"/>
        </w:rPr>
        <w:drawing>
          <wp:inline distT="0" distB="0" distL="114300" distR="114300">
            <wp:extent cx="5269865" cy="1370965"/>
            <wp:effectExtent l="0" t="0" r="6985" b="635"/>
            <wp:docPr id="29"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true"/>
                    </pic:cNvPicPr>
                  </pic:nvPicPr>
                  <pic:blipFill>
                    <a:blip r:embed="rId36"/>
                    <a:stretch>
                      <a:fillRect/>
                    </a:stretch>
                  </pic:blipFill>
                  <pic:spPr>
                    <a:xfrm>
                      <a:off x="0" y="0"/>
                      <a:ext cx="5269865" cy="1370965"/>
                    </a:xfrm>
                    <a:prstGeom prst="rect">
                      <a:avLst/>
                    </a:prstGeom>
                    <a:noFill/>
                    <a:ln>
                      <a:noFill/>
                    </a:ln>
                  </pic:spPr>
                </pic:pic>
              </a:graphicData>
            </a:graphic>
          </wp:inline>
        </w:drawing>
      </w:r>
    </w:p>
    <w:p>
      <w:pPr>
        <w:rPr>
          <w:color w:val="auto"/>
        </w:rPr>
      </w:pPr>
      <w:r>
        <w:rPr>
          <w:rFonts w:hint="eastAsia"/>
          <w:color w:val="auto"/>
        </w:rPr>
        <w:t>到货单：</w:t>
      </w:r>
    </w:p>
    <w:p>
      <w:pPr>
        <w:rPr>
          <w:color w:val="auto"/>
        </w:rPr>
      </w:pPr>
      <w:r>
        <w:rPr>
          <w:color w:val="auto"/>
        </w:rPr>
        <w:drawing>
          <wp:inline distT="0" distB="0" distL="114300" distR="114300">
            <wp:extent cx="5276215" cy="1197610"/>
            <wp:effectExtent l="0" t="0" r="635" b="2540"/>
            <wp:docPr id="30"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true"/>
                    </pic:cNvPicPr>
                  </pic:nvPicPr>
                  <pic:blipFill>
                    <a:blip r:embed="rId37"/>
                    <a:stretch>
                      <a:fillRect/>
                    </a:stretch>
                  </pic:blipFill>
                  <pic:spPr>
                    <a:xfrm>
                      <a:off x="0" y="0"/>
                      <a:ext cx="5276215" cy="1197610"/>
                    </a:xfrm>
                    <a:prstGeom prst="rect">
                      <a:avLst/>
                    </a:prstGeom>
                    <a:noFill/>
                    <a:ln>
                      <a:noFill/>
                    </a:ln>
                  </pic:spPr>
                </pic:pic>
              </a:graphicData>
            </a:graphic>
          </wp:inline>
        </w:drawing>
      </w:r>
    </w:p>
    <w:p>
      <w:pPr>
        <w:rPr>
          <w:color w:val="auto"/>
        </w:rPr>
      </w:pPr>
      <w:r>
        <w:rPr>
          <w:rFonts w:hint="eastAsia"/>
          <w:color w:val="auto"/>
        </w:rPr>
        <w:t>采购发票：</w:t>
      </w:r>
    </w:p>
    <w:p>
      <w:pPr>
        <w:rPr>
          <w:color w:val="auto"/>
        </w:rPr>
      </w:pPr>
      <w:r>
        <w:rPr>
          <w:color w:val="auto"/>
        </w:rPr>
        <w:drawing>
          <wp:inline distT="0" distB="0" distL="114300" distR="114300">
            <wp:extent cx="5279390" cy="1211580"/>
            <wp:effectExtent l="0" t="0" r="16510" b="7620"/>
            <wp:docPr id="31"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2"/>
                    <pic:cNvPicPr>
                      <a:picLocks noChangeAspect="true"/>
                    </pic:cNvPicPr>
                  </pic:nvPicPr>
                  <pic:blipFill>
                    <a:blip r:embed="rId38"/>
                    <a:stretch>
                      <a:fillRect/>
                    </a:stretch>
                  </pic:blipFill>
                  <pic:spPr>
                    <a:xfrm>
                      <a:off x="0" y="0"/>
                      <a:ext cx="5279390" cy="1211580"/>
                    </a:xfrm>
                    <a:prstGeom prst="rect">
                      <a:avLst/>
                    </a:prstGeom>
                    <a:noFill/>
                    <a:ln>
                      <a:noFill/>
                    </a:ln>
                  </pic:spPr>
                </pic:pic>
              </a:graphicData>
            </a:graphic>
          </wp:inline>
        </w:drawing>
      </w:r>
    </w:p>
    <w:p>
      <w:pPr>
        <w:rPr>
          <w:color w:val="auto"/>
        </w:rPr>
      </w:pPr>
      <w:r>
        <w:rPr>
          <w:rFonts w:hint="eastAsia"/>
          <w:color w:val="auto"/>
        </w:rPr>
        <w:t>采购结算单：</w:t>
      </w:r>
    </w:p>
    <w:p>
      <w:pPr>
        <w:rPr>
          <w:color w:val="auto"/>
        </w:rPr>
      </w:pPr>
      <w:r>
        <w:rPr>
          <w:color w:val="auto"/>
        </w:rPr>
        <w:drawing>
          <wp:inline distT="0" distB="0" distL="114300" distR="114300">
            <wp:extent cx="5266690" cy="821690"/>
            <wp:effectExtent l="0" t="0" r="10160" b="16510"/>
            <wp:docPr id="32"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true"/>
                    </pic:cNvPicPr>
                  </pic:nvPicPr>
                  <pic:blipFill>
                    <a:blip r:embed="rId39"/>
                    <a:stretch>
                      <a:fillRect/>
                    </a:stretch>
                  </pic:blipFill>
                  <pic:spPr>
                    <a:xfrm>
                      <a:off x="0" y="0"/>
                      <a:ext cx="5266690" cy="821690"/>
                    </a:xfrm>
                    <a:prstGeom prst="rect">
                      <a:avLst/>
                    </a:prstGeom>
                    <a:noFill/>
                    <a:ln>
                      <a:noFill/>
                    </a:ln>
                  </pic:spPr>
                </pic:pic>
              </a:graphicData>
            </a:graphic>
          </wp:inline>
        </w:drawing>
      </w:r>
    </w:p>
    <w:p>
      <w:pPr>
        <w:rPr>
          <w:color w:val="auto"/>
        </w:rPr>
      </w:pPr>
      <w:r>
        <w:rPr>
          <w:rFonts w:hint="eastAsia"/>
          <w:color w:val="auto"/>
        </w:rPr>
        <w:t>销售订单：</w:t>
      </w:r>
    </w:p>
    <w:p>
      <w:pPr>
        <w:rPr>
          <w:color w:val="auto"/>
        </w:rPr>
      </w:pPr>
      <w:r>
        <w:rPr>
          <w:color w:val="auto"/>
        </w:rPr>
        <w:drawing>
          <wp:inline distT="0" distB="0" distL="114300" distR="114300">
            <wp:extent cx="5274310" cy="2194560"/>
            <wp:effectExtent l="0" t="0" r="2540" b="15240"/>
            <wp:docPr id="33"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4"/>
                    <pic:cNvPicPr>
                      <a:picLocks noChangeAspect="true"/>
                    </pic:cNvPicPr>
                  </pic:nvPicPr>
                  <pic:blipFill>
                    <a:blip r:embed="rId40"/>
                    <a:stretch>
                      <a:fillRect/>
                    </a:stretch>
                  </pic:blipFill>
                  <pic:spPr>
                    <a:xfrm>
                      <a:off x="0" y="0"/>
                      <a:ext cx="5274310" cy="2194560"/>
                    </a:xfrm>
                    <a:prstGeom prst="rect">
                      <a:avLst/>
                    </a:prstGeom>
                    <a:noFill/>
                    <a:ln>
                      <a:noFill/>
                    </a:ln>
                  </pic:spPr>
                </pic:pic>
              </a:graphicData>
            </a:graphic>
          </wp:inline>
        </w:drawing>
      </w:r>
    </w:p>
    <w:p>
      <w:pPr>
        <w:rPr>
          <w:color w:val="auto"/>
        </w:rPr>
      </w:pPr>
      <w:r>
        <w:rPr>
          <w:rFonts w:hint="eastAsia"/>
          <w:color w:val="auto"/>
        </w:rPr>
        <w:t>销售发票：</w:t>
      </w:r>
    </w:p>
    <w:p>
      <w:pPr>
        <w:rPr>
          <w:color w:val="auto"/>
        </w:rPr>
      </w:pPr>
      <w:r>
        <w:rPr>
          <w:color w:val="auto"/>
        </w:rPr>
        <w:drawing>
          <wp:inline distT="0" distB="0" distL="114300" distR="114300">
            <wp:extent cx="5274310" cy="2350770"/>
            <wp:effectExtent l="0" t="0" r="2540" b="11430"/>
            <wp:docPr id="34"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true"/>
                    </pic:cNvPicPr>
                  </pic:nvPicPr>
                  <pic:blipFill>
                    <a:blip r:embed="rId41"/>
                    <a:stretch>
                      <a:fillRect/>
                    </a:stretch>
                  </pic:blipFill>
                  <pic:spPr>
                    <a:xfrm>
                      <a:off x="0" y="0"/>
                      <a:ext cx="5274310" cy="2350770"/>
                    </a:xfrm>
                    <a:prstGeom prst="rect">
                      <a:avLst/>
                    </a:prstGeom>
                    <a:noFill/>
                    <a:ln>
                      <a:noFill/>
                    </a:ln>
                  </pic:spPr>
                </pic:pic>
              </a:graphicData>
            </a:graphic>
          </wp:inline>
        </w:drawing>
      </w:r>
    </w:p>
    <w:p>
      <w:pPr>
        <w:keepNext/>
        <w:keepLines/>
        <w:numPr>
          <w:ilvl w:val="0"/>
          <w:numId w:val="0"/>
        </w:numPr>
        <w:spacing w:before="260" w:after="260" w:line="415" w:lineRule="auto"/>
        <w:ind w:leftChars="0"/>
        <w:outlineLvl w:val="2"/>
        <w:rPr>
          <w:rFonts w:hint="eastAsia" w:ascii="等线" w:hAnsi="等线" w:eastAsia="宋体"/>
          <w:b/>
          <w:bCs/>
          <w:szCs w:val="32"/>
          <w:lang w:val="en-US" w:eastAsia="zh-CN"/>
        </w:rPr>
      </w:pPr>
      <w:r>
        <w:rPr>
          <w:rFonts w:hint="eastAsia" w:ascii="等线" w:hAnsi="等线" w:eastAsia="宋体"/>
          <w:b/>
          <w:bCs/>
          <w:szCs w:val="32"/>
          <w:lang w:val="en-US" w:eastAsia="zh-CN"/>
        </w:rPr>
        <w:t>A.4.5基础档案模块元素格式</w:t>
      </w:r>
    </w:p>
    <w:p>
      <w:pPr>
        <w:rPr>
          <w:color w:val="auto"/>
          <w:sz w:val="24"/>
          <w:szCs w:val="24"/>
        </w:rPr>
      </w:pPr>
      <w:r>
        <w:rPr>
          <w:rFonts w:hint="eastAsia"/>
          <w:color w:val="auto"/>
          <w:sz w:val="24"/>
          <w:szCs w:val="24"/>
        </w:rPr>
        <w:t>客户基本信息：</w:t>
      </w:r>
    </w:p>
    <w:p>
      <w:pPr>
        <w:rPr>
          <w:color w:val="auto"/>
          <w:sz w:val="24"/>
          <w:szCs w:val="24"/>
        </w:rPr>
      </w:pPr>
      <w:r>
        <w:rPr>
          <w:color w:val="auto"/>
        </w:rPr>
        <w:drawing>
          <wp:inline distT="0" distB="0" distL="114300" distR="114300">
            <wp:extent cx="5276850" cy="2066290"/>
            <wp:effectExtent l="0" t="0" r="0" b="10160"/>
            <wp:docPr id="35"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6"/>
                    <pic:cNvPicPr>
                      <a:picLocks noChangeAspect="true"/>
                    </pic:cNvPicPr>
                  </pic:nvPicPr>
                  <pic:blipFill>
                    <a:blip r:embed="rId42"/>
                    <a:stretch>
                      <a:fillRect/>
                    </a:stretch>
                  </pic:blipFill>
                  <pic:spPr>
                    <a:xfrm>
                      <a:off x="0" y="0"/>
                      <a:ext cx="5276850" cy="2066290"/>
                    </a:xfrm>
                    <a:prstGeom prst="rect">
                      <a:avLst/>
                    </a:prstGeom>
                    <a:noFill/>
                    <a:ln>
                      <a:noFill/>
                    </a:ln>
                  </pic:spPr>
                </pic:pic>
              </a:graphicData>
            </a:graphic>
          </wp:inline>
        </w:drawing>
      </w:r>
    </w:p>
    <w:p>
      <w:pPr>
        <w:rPr>
          <w:color w:val="auto"/>
          <w:sz w:val="24"/>
          <w:szCs w:val="24"/>
        </w:rPr>
      </w:pPr>
      <w:r>
        <w:rPr>
          <w:rFonts w:hint="eastAsia"/>
          <w:color w:val="auto"/>
          <w:sz w:val="24"/>
          <w:szCs w:val="24"/>
        </w:rPr>
        <w:t>物料信息：</w:t>
      </w:r>
    </w:p>
    <w:p>
      <w:pPr>
        <w:rPr>
          <w:color w:val="auto"/>
          <w:sz w:val="24"/>
          <w:szCs w:val="24"/>
        </w:rPr>
      </w:pPr>
      <w:r>
        <w:rPr>
          <w:color w:val="auto"/>
        </w:rPr>
        <w:drawing>
          <wp:inline distT="0" distB="0" distL="114300" distR="114300">
            <wp:extent cx="5269865" cy="2027555"/>
            <wp:effectExtent l="0" t="0" r="6985" b="10795"/>
            <wp:docPr id="36"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7"/>
                    <pic:cNvPicPr>
                      <a:picLocks noChangeAspect="true"/>
                    </pic:cNvPicPr>
                  </pic:nvPicPr>
                  <pic:blipFill>
                    <a:blip r:embed="rId43"/>
                    <a:stretch>
                      <a:fillRect/>
                    </a:stretch>
                  </pic:blipFill>
                  <pic:spPr>
                    <a:xfrm>
                      <a:off x="0" y="0"/>
                      <a:ext cx="5269865" cy="2027555"/>
                    </a:xfrm>
                    <a:prstGeom prst="rect">
                      <a:avLst/>
                    </a:prstGeom>
                    <a:noFill/>
                    <a:ln>
                      <a:noFill/>
                    </a:ln>
                  </pic:spPr>
                </pic:pic>
              </a:graphicData>
            </a:graphic>
          </wp:inline>
        </w:drawing>
      </w:r>
    </w:p>
    <w:p>
      <w:pPr>
        <w:rPr>
          <w:color w:val="auto"/>
          <w:sz w:val="24"/>
          <w:szCs w:val="24"/>
        </w:rPr>
      </w:pPr>
      <w:r>
        <w:rPr>
          <w:rFonts w:hint="eastAsia"/>
          <w:color w:val="auto"/>
          <w:sz w:val="24"/>
          <w:szCs w:val="24"/>
        </w:rPr>
        <w:t>供应商信息：</w:t>
      </w:r>
    </w:p>
    <w:p>
      <w:pPr>
        <w:rPr>
          <w:rFonts w:hint="eastAsia"/>
          <w:color w:val="auto"/>
          <w:sz w:val="24"/>
          <w:szCs w:val="24"/>
        </w:rPr>
      </w:pPr>
      <w:r>
        <w:rPr>
          <w:color w:val="auto"/>
        </w:rPr>
        <w:drawing>
          <wp:inline distT="0" distB="0" distL="114300" distR="114300">
            <wp:extent cx="5278755" cy="1812290"/>
            <wp:effectExtent l="0" t="0" r="17145" b="16510"/>
            <wp:docPr id="37"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8"/>
                    <pic:cNvPicPr>
                      <a:picLocks noChangeAspect="true"/>
                    </pic:cNvPicPr>
                  </pic:nvPicPr>
                  <pic:blipFill>
                    <a:blip r:embed="rId44"/>
                    <a:stretch>
                      <a:fillRect/>
                    </a:stretch>
                  </pic:blipFill>
                  <pic:spPr>
                    <a:xfrm>
                      <a:off x="0" y="0"/>
                      <a:ext cx="5278755" cy="1812290"/>
                    </a:xfrm>
                    <a:prstGeom prst="rect">
                      <a:avLst/>
                    </a:prstGeom>
                    <a:noFill/>
                    <a:ln>
                      <a:noFill/>
                    </a:ln>
                  </pic:spPr>
                </pic:pic>
              </a:graphicData>
            </a:graphic>
          </wp:inline>
        </w:drawing>
      </w: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pStyle w:val="58"/>
        <w:wordWrap w:val="0"/>
        <w:spacing w:beforeLines="0" w:afterLines="0"/>
        <w:jc w:val="both"/>
        <w:outlineLvl w:val="0"/>
        <w:rPr>
          <w:rFonts w:hint="eastAsia" w:hAnsi="黑体"/>
          <w:highlight w:val="none"/>
          <w:lang w:val="de-DE"/>
        </w:rPr>
      </w:pPr>
      <w:bookmarkStart w:id="260" w:name="_Toc954765937"/>
      <w:bookmarkStart w:id="261" w:name="_Toc37775566"/>
      <w:bookmarkStart w:id="262" w:name="_Toc442780107"/>
    </w:p>
    <w:p>
      <w:pPr>
        <w:pStyle w:val="58"/>
        <w:wordWrap w:val="0"/>
        <w:spacing w:beforeLines="0" w:afterLines="0"/>
        <w:jc w:val="center"/>
        <w:outlineLvl w:val="0"/>
        <w:rPr>
          <w:rFonts w:hint="eastAsia" w:hAnsi="黑体"/>
          <w:highlight w:val="none"/>
          <w:lang w:val="de-DE"/>
        </w:rPr>
      </w:pPr>
    </w:p>
    <w:p>
      <w:pPr>
        <w:pStyle w:val="58"/>
        <w:wordWrap w:val="0"/>
        <w:spacing w:beforeLines="0" w:afterLines="0"/>
        <w:jc w:val="center"/>
        <w:outlineLvl w:val="0"/>
        <w:rPr>
          <w:rFonts w:hAnsi="黑体"/>
          <w:highlight w:val="none"/>
          <w:lang w:val="de-DE"/>
        </w:rPr>
      </w:pPr>
      <w:r>
        <w:rPr>
          <w:rFonts w:hint="eastAsia" w:hAnsi="黑体"/>
          <w:highlight w:val="none"/>
          <w:lang w:val="de-DE"/>
        </w:rPr>
        <w:t xml:space="preserve">附 录 </w:t>
      </w:r>
      <w:r>
        <w:rPr>
          <w:rFonts w:hint="eastAsia" w:hAnsi="黑体"/>
          <w:highlight w:val="none"/>
          <w:lang w:val="en-US" w:eastAsia="zh-CN"/>
        </w:rPr>
        <w:t>B</w:t>
      </w:r>
      <w:r>
        <w:rPr>
          <w:rFonts w:hAnsi="黑体"/>
          <w:highlight w:val="none"/>
          <w:lang w:val="de-DE"/>
        </w:rPr>
        <w:br w:type="textWrapping" w:clear="all"/>
      </w:r>
      <w:r>
        <w:rPr>
          <w:rFonts w:hint="eastAsia" w:hAnsi="黑体"/>
          <w:highlight w:val="none"/>
          <w:lang w:val="de-DE"/>
        </w:rPr>
        <w:t>（</w:t>
      </w:r>
      <w:r>
        <w:rPr>
          <w:rFonts w:hint="eastAsia" w:hAnsi="黑体"/>
          <w:color w:val="000000"/>
          <w:highlight w:val="none"/>
          <w:lang w:val="de-DE"/>
        </w:rPr>
        <w:t>规范性附录</w:t>
      </w:r>
      <w:r>
        <w:rPr>
          <w:rFonts w:hint="eastAsia" w:hAnsi="黑体"/>
          <w:highlight w:val="none"/>
          <w:lang w:val="de-DE"/>
        </w:rPr>
        <w:t>）</w:t>
      </w:r>
    </w:p>
    <w:p>
      <w:pPr>
        <w:pStyle w:val="58"/>
        <w:wordWrap w:val="0"/>
        <w:spacing w:beforeLines="0" w:afterLines="0"/>
        <w:jc w:val="center"/>
        <w:outlineLvl w:val="0"/>
        <w:rPr>
          <w:rFonts w:hAnsi="黑体"/>
          <w:highlight w:val="none"/>
          <w:lang w:val="de-DE"/>
        </w:rPr>
      </w:pPr>
      <w:r>
        <w:rPr>
          <w:rFonts w:hint="eastAsia" w:hAnsi="黑体"/>
          <w:highlight w:val="none"/>
          <w:lang w:val="de-DE"/>
        </w:rPr>
        <w:t>会计档案归档范围与保管期限表</w:t>
      </w:r>
      <w:bookmarkEnd w:id="260"/>
      <w:bookmarkEnd w:id="261"/>
      <w:bookmarkEnd w:id="262"/>
    </w:p>
    <w:p>
      <w:pPr>
        <w:pStyle w:val="40"/>
        <w:wordWrap w:val="0"/>
        <w:spacing w:after="280"/>
        <w:ind w:firstLine="0" w:firstLineChars="0"/>
        <w:rPr>
          <w:rFonts w:ascii="黑体" w:hAnsi="黑体" w:eastAsia="黑体"/>
          <w:highlight w:val="none"/>
          <w:lang w:val="de-DE"/>
        </w:rPr>
      </w:pPr>
    </w:p>
    <w:p>
      <w:pPr>
        <w:pStyle w:val="4"/>
        <w:numPr>
          <w:ilvl w:val="0"/>
          <w:numId w:val="0"/>
        </w:numPr>
        <w:tabs>
          <w:tab w:val="left" w:pos="567"/>
        </w:tabs>
        <w:spacing w:beforeLines="50" w:afterLines="50" w:line="240" w:lineRule="auto"/>
        <w:ind w:leftChars="0"/>
        <w:rPr>
          <w:rFonts w:ascii="黑体" w:hAnsi="黑体" w:eastAsia="黑体"/>
          <w:b w:val="0"/>
          <w:sz w:val="21"/>
          <w:szCs w:val="21"/>
          <w:highlight w:val="none"/>
        </w:rPr>
      </w:pPr>
      <w:bookmarkStart w:id="263" w:name="_Toc819012334"/>
      <w:bookmarkStart w:id="264" w:name="_Toc1745803415"/>
      <w:bookmarkStart w:id="265" w:name="_Toc37775567"/>
      <w:r>
        <w:rPr>
          <w:rFonts w:hint="default" w:ascii="黑体" w:hAnsi="黑体" w:eastAsia="黑体"/>
          <w:b w:val="0"/>
          <w:sz w:val="21"/>
          <w:szCs w:val="21"/>
          <w:highlight w:val="none"/>
          <w:lang w:val="en"/>
        </w:rPr>
        <w:t>B.1</w:t>
      </w:r>
      <w:r>
        <w:rPr>
          <w:rFonts w:hint="eastAsia" w:ascii="黑体" w:hAnsi="黑体" w:eastAsia="黑体"/>
          <w:b w:val="0"/>
          <w:sz w:val="21"/>
          <w:szCs w:val="21"/>
          <w:highlight w:val="none"/>
        </w:rPr>
        <w:t>企业和其他组织会计档案保管期限表</w:t>
      </w:r>
      <w:bookmarkEnd w:id="263"/>
      <w:bookmarkEnd w:id="264"/>
      <w:bookmarkEnd w:id="265"/>
    </w:p>
    <w:tbl>
      <w:tblPr>
        <w:tblStyle w:val="24"/>
        <w:tblW w:w="819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9"/>
        <w:gridCol w:w="3315"/>
        <w:gridCol w:w="992"/>
        <w:gridCol w:w="29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4"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b/>
                <w:bCs/>
                <w:highlight w:val="none"/>
              </w:rPr>
            </w:pPr>
            <w:r>
              <w:rPr>
                <w:rFonts w:hint="eastAsia" w:cs="宋体"/>
                <w:b/>
                <w:bCs/>
                <w:highlight w:val="none"/>
              </w:rPr>
              <w:t>序号</w:t>
            </w:r>
          </w:p>
        </w:tc>
        <w:tc>
          <w:tcPr>
            <w:tcW w:w="3315" w:type="dxa"/>
            <w:tcBorders>
              <w:top w:val="single" w:color="auto" w:sz="4"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b/>
                <w:bCs/>
                <w:highlight w:val="none"/>
              </w:rPr>
            </w:pPr>
            <w:r>
              <w:rPr>
                <w:rFonts w:hint="eastAsia" w:cs="宋体"/>
                <w:b/>
                <w:bCs/>
                <w:highlight w:val="none"/>
              </w:rPr>
              <w:t>档案名称</w:t>
            </w:r>
          </w:p>
        </w:tc>
        <w:tc>
          <w:tcPr>
            <w:tcW w:w="992" w:type="dxa"/>
            <w:tcBorders>
              <w:top w:val="single" w:color="auto" w:sz="4"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b/>
                <w:bCs/>
                <w:highlight w:val="none"/>
              </w:rPr>
            </w:pPr>
            <w:r>
              <w:rPr>
                <w:rFonts w:hint="eastAsia" w:cs="宋体"/>
                <w:b/>
                <w:bCs/>
                <w:highlight w:val="none"/>
              </w:rPr>
              <w:t>保管期限</w:t>
            </w:r>
          </w:p>
        </w:tc>
        <w:tc>
          <w:tcPr>
            <w:tcW w:w="2977" w:type="dxa"/>
            <w:tcBorders>
              <w:top w:val="single" w:color="auto" w:sz="4" w:space="0"/>
              <w:left w:val="single" w:color="auto" w:sz="6" w:space="0"/>
              <w:bottom w:val="single" w:color="auto" w:sz="6" w:space="0"/>
              <w:right w:val="single" w:color="auto" w:sz="4" w:space="0"/>
            </w:tcBorders>
            <w:tcMar>
              <w:left w:w="0" w:type="dxa"/>
              <w:right w:w="0" w:type="dxa"/>
            </w:tcMar>
            <w:vAlign w:val="center"/>
          </w:tcPr>
          <w:p>
            <w:pPr>
              <w:adjustRightInd w:val="0"/>
              <w:snapToGrid w:val="0"/>
              <w:spacing w:line="360" w:lineRule="exact"/>
              <w:jc w:val="center"/>
              <w:rPr>
                <w:b/>
                <w:bCs/>
                <w:highlight w:val="none"/>
              </w:rPr>
            </w:pPr>
            <w:r>
              <w:rPr>
                <w:rFonts w:hint="eastAsia" w:cs="宋体"/>
                <w:b/>
                <w:bCs/>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b/>
                <w:bCs/>
                <w:highlight w:val="none"/>
              </w:rPr>
            </w:pPr>
            <w:r>
              <w:rPr>
                <w:rFonts w:hint="eastAsia" w:cs="宋体"/>
                <w:b/>
                <w:bCs/>
                <w:highlight w:val="none"/>
              </w:rPr>
              <w:t>一</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b/>
                <w:bCs/>
                <w:highlight w:val="none"/>
              </w:rPr>
            </w:pPr>
            <w:r>
              <w:rPr>
                <w:rFonts w:hint="eastAsia" w:cs="宋体"/>
                <w:b/>
                <w:bCs/>
                <w:highlight w:val="none"/>
              </w:rPr>
              <w:t>会计凭证</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b/>
                <w:bCs/>
                <w:highlight w:val="none"/>
              </w:rPr>
            </w:pP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b/>
                <w:bCs/>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原始凭证</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30</w:t>
            </w:r>
            <w:r>
              <w:rPr>
                <w:rFonts w:hint="eastAsia" w:cs="宋体"/>
                <w:highlight w:val="none"/>
              </w:rPr>
              <w:t>年</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2</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记账凭证</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30</w:t>
            </w:r>
            <w:r>
              <w:rPr>
                <w:rFonts w:hint="eastAsia" w:cs="宋体"/>
                <w:highlight w:val="none"/>
              </w:rPr>
              <w:t>年</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b/>
                <w:bCs/>
                <w:highlight w:val="none"/>
              </w:rPr>
            </w:pPr>
            <w:r>
              <w:rPr>
                <w:rFonts w:hint="eastAsia" w:cs="宋体"/>
                <w:b/>
                <w:bCs/>
                <w:highlight w:val="none"/>
              </w:rPr>
              <w:t>二</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b/>
                <w:bCs/>
                <w:highlight w:val="none"/>
              </w:rPr>
            </w:pPr>
            <w:r>
              <w:rPr>
                <w:rFonts w:hint="eastAsia" w:cs="宋体"/>
                <w:b/>
                <w:bCs/>
                <w:highlight w:val="none"/>
              </w:rPr>
              <w:t>会计账簿</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b/>
                <w:bCs/>
                <w:highlight w:val="none"/>
              </w:rPr>
            </w:pP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b/>
                <w:bCs/>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3</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总账</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30</w:t>
            </w:r>
            <w:r>
              <w:rPr>
                <w:rFonts w:hint="eastAsia" w:cs="宋体"/>
                <w:highlight w:val="none"/>
              </w:rPr>
              <w:t>年</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4</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明细账</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30</w:t>
            </w:r>
            <w:r>
              <w:rPr>
                <w:rFonts w:hint="eastAsia" w:cs="宋体"/>
                <w:highlight w:val="none"/>
              </w:rPr>
              <w:t>年</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5</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日记账</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30</w:t>
            </w:r>
            <w:r>
              <w:rPr>
                <w:rFonts w:hint="eastAsia" w:cs="宋体"/>
                <w:highlight w:val="none"/>
              </w:rPr>
              <w:t>年</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6</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固定资产卡片</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r>
              <w:rPr>
                <w:rFonts w:hint="eastAsia" w:cs="宋体"/>
                <w:highlight w:val="none"/>
              </w:rPr>
              <w:t>固定资产报废清理后保管</w:t>
            </w:r>
            <w:r>
              <w:rPr>
                <w:highlight w:val="none"/>
              </w:rPr>
              <w:t>5</w:t>
            </w:r>
            <w:r>
              <w:rPr>
                <w:rFonts w:hint="eastAsia" w:cs="宋体"/>
                <w:highlight w:val="none"/>
              </w:rPr>
              <w:t>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7</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其他辅助性账簿</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30</w:t>
            </w:r>
            <w:r>
              <w:rPr>
                <w:rFonts w:hint="eastAsia" w:cs="宋体"/>
                <w:highlight w:val="none"/>
              </w:rPr>
              <w:t>年</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b/>
                <w:bCs/>
                <w:highlight w:val="none"/>
              </w:rPr>
            </w:pPr>
            <w:r>
              <w:rPr>
                <w:rFonts w:hint="eastAsia" w:cs="宋体"/>
                <w:b/>
                <w:bCs/>
                <w:highlight w:val="none"/>
              </w:rPr>
              <w:t>三</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b/>
                <w:bCs/>
                <w:highlight w:val="none"/>
              </w:rPr>
            </w:pPr>
            <w:r>
              <w:rPr>
                <w:rFonts w:hint="eastAsia" w:cs="宋体"/>
                <w:b/>
                <w:bCs/>
                <w:highlight w:val="none"/>
              </w:rPr>
              <w:t>财务会计报告</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b/>
                <w:bCs/>
                <w:highlight w:val="none"/>
              </w:rPr>
            </w:pP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b/>
                <w:bCs/>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8</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月度、季度、半年度财务会计报告</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10</w:t>
            </w:r>
            <w:r>
              <w:rPr>
                <w:rFonts w:hint="eastAsia" w:cs="宋体"/>
                <w:highlight w:val="none"/>
              </w:rPr>
              <w:t>年</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9</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年度财务会计报告</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rFonts w:hint="eastAsia" w:cs="宋体"/>
                <w:highlight w:val="none"/>
              </w:rPr>
              <w:t>永久</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b/>
                <w:bCs/>
                <w:highlight w:val="none"/>
              </w:rPr>
            </w:pPr>
            <w:r>
              <w:rPr>
                <w:rFonts w:hint="eastAsia" w:cs="宋体"/>
                <w:b/>
                <w:bCs/>
                <w:highlight w:val="none"/>
              </w:rPr>
              <w:t>四</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b/>
                <w:bCs/>
                <w:highlight w:val="none"/>
              </w:rPr>
            </w:pPr>
            <w:r>
              <w:rPr>
                <w:rFonts w:hint="eastAsia" w:cs="宋体"/>
                <w:b/>
                <w:bCs/>
                <w:highlight w:val="none"/>
              </w:rPr>
              <w:t>其他会计资料</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b/>
                <w:bCs/>
                <w:highlight w:val="none"/>
              </w:rPr>
            </w:pP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b/>
                <w:bCs/>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10</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银行存款余额调节表</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10</w:t>
            </w:r>
            <w:r>
              <w:rPr>
                <w:rFonts w:hint="eastAsia" w:cs="宋体"/>
                <w:highlight w:val="none"/>
              </w:rPr>
              <w:t>年</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11</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银行对账单</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10</w:t>
            </w:r>
            <w:r>
              <w:rPr>
                <w:rFonts w:hint="eastAsia" w:cs="宋体"/>
                <w:highlight w:val="none"/>
              </w:rPr>
              <w:t>年</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12</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纳税申报表</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10</w:t>
            </w:r>
            <w:r>
              <w:rPr>
                <w:rFonts w:hint="eastAsia" w:cs="宋体"/>
                <w:highlight w:val="none"/>
              </w:rPr>
              <w:t>年</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13</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会计档案移交清册</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30</w:t>
            </w:r>
            <w:r>
              <w:rPr>
                <w:rFonts w:hint="eastAsia" w:cs="宋体"/>
                <w:highlight w:val="none"/>
              </w:rPr>
              <w:t>年</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14</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会计档案保管清册</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rFonts w:hint="eastAsia" w:cs="宋体"/>
                <w:highlight w:val="none"/>
              </w:rPr>
              <w:t>永久</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909" w:type="dxa"/>
            <w:tcBorders>
              <w:top w:val="single" w:color="auto" w:sz="6" w:space="0"/>
              <w:left w:val="single" w:color="auto" w:sz="4"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15</w:t>
            </w:r>
          </w:p>
        </w:tc>
        <w:tc>
          <w:tcPr>
            <w:tcW w:w="3315" w:type="dxa"/>
            <w:tcBorders>
              <w:top w:val="single" w:color="auto" w:sz="6" w:space="0"/>
              <w:left w:val="single" w:color="auto" w:sz="6" w:space="0"/>
              <w:bottom w:val="single" w:color="auto" w:sz="6"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会计档案销毁清册</w:t>
            </w:r>
          </w:p>
        </w:tc>
        <w:tc>
          <w:tcPr>
            <w:tcW w:w="992"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rFonts w:hint="eastAsia" w:cs="宋体"/>
                <w:highlight w:val="none"/>
              </w:rPr>
              <w:t>永久</w:t>
            </w:r>
          </w:p>
        </w:tc>
        <w:tc>
          <w:tcPr>
            <w:tcW w:w="2977" w:type="dxa"/>
            <w:tcBorders>
              <w:top w:val="single" w:color="auto" w:sz="6" w:space="0"/>
              <w:left w:val="single" w:color="auto" w:sz="6" w:space="0"/>
              <w:bottom w:val="single" w:color="auto" w:sz="6"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tcBorders>
              <w:top w:val="single" w:color="auto" w:sz="6" w:space="0"/>
              <w:left w:val="single" w:color="auto" w:sz="4" w:space="0"/>
              <w:bottom w:val="single" w:color="auto" w:sz="4"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highlight w:val="none"/>
              </w:rPr>
              <w:t>16</w:t>
            </w:r>
          </w:p>
        </w:tc>
        <w:tc>
          <w:tcPr>
            <w:tcW w:w="3315" w:type="dxa"/>
            <w:tcBorders>
              <w:top w:val="single" w:color="auto" w:sz="6" w:space="0"/>
              <w:left w:val="single" w:color="auto" w:sz="6" w:space="0"/>
              <w:bottom w:val="single" w:color="auto" w:sz="4" w:space="0"/>
              <w:right w:val="single" w:color="auto" w:sz="6" w:space="0"/>
            </w:tcBorders>
            <w:tcMar>
              <w:left w:w="113" w:type="dxa"/>
              <w:right w:w="0" w:type="dxa"/>
            </w:tcMar>
            <w:vAlign w:val="center"/>
          </w:tcPr>
          <w:p>
            <w:pPr>
              <w:adjustRightInd w:val="0"/>
              <w:snapToGrid w:val="0"/>
              <w:spacing w:line="360" w:lineRule="exact"/>
              <w:jc w:val="left"/>
              <w:rPr>
                <w:highlight w:val="none"/>
              </w:rPr>
            </w:pPr>
            <w:r>
              <w:rPr>
                <w:rFonts w:hint="eastAsia" w:cs="宋体"/>
                <w:highlight w:val="none"/>
              </w:rPr>
              <w:t>会计档案鉴定意见书</w:t>
            </w:r>
          </w:p>
        </w:tc>
        <w:tc>
          <w:tcPr>
            <w:tcW w:w="992" w:type="dxa"/>
            <w:tcBorders>
              <w:top w:val="single" w:color="auto" w:sz="6" w:space="0"/>
              <w:left w:val="single" w:color="auto" w:sz="6" w:space="0"/>
              <w:bottom w:val="single" w:color="auto" w:sz="4" w:space="0"/>
              <w:right w:val="single" w:color="auto" w:sz="6" w:space="0"/>
            </w:tcBorders>
            <w:tcMar>
              <w:left w:w="0" w:type="dxa"/>
              <w:right w:w="0" w:type="dxa"/>
            </w:tcMar>
            <w:vAlign w:val="center"/>
          </w:tcPr>
          <w:p>
            <w:pPr>
              <w:adjustRightInd w:val="0"/>
              <w:snapToGrid w:val="0"/>
              <w:spacing w:line="360" w:lineRule="exact"/>
              <w:jc w:val="center"/>
              <w:rPr>
                <w:highlight w:val="none"/>
              </w:rPr>
            </w:pPr>
            <w:r>
              <w:rPr>
                <w:rFonts w:hint="eastAsia" w:cs="宋体"/>
                <w:highlight w:val="none"/>
              </w:rPr>
              <w:t>永久</w:t>
            </w:r>
          </w:p>
        </w:tc>
        <w:tc>
          <w:tcPr>
            <w:tcW w:w="2977" w:type="dxa"/>
            <w:tcBorders>
              <w:top w:val="single" w:color="auto" w:sz="6" w:space="0"/>
              <w:left w:val="single" w:color="auto" w:sz="6" w:space="0"/>
              <w:bottom w:val="single" w:color="auto" w:sz="4" w:space="0"/>
              <w:right w:val="single" w:color="auto" w:sz="4" w:space="0"/>
            </w:tcBorders>
            <w:tcMar>
              <w:left w:w="113" w:type="dxa"/>
              <w:right w:w="113" w:type="dxa"/>
            </w:tcMar>
            <w:vAlign w:val="center"/>
          </w:tcPr>
          <w:p>
            <w:pPr>
              <w:adjustRightInd w:val="0"/>
              <w:snapToGrid w:val="0"/>
              <w:spacing w:line="360" w:lineRule="exact"/>
              <w:jc w:val="center"/>
              <w:rPr>
                <w:highlight w:val="none"/>
              </w:rPr>
            </w:pPr>
          </w:p>
        </w:tc>
      </w:tr>
    </w:tbl>
    <w:p>
      <w:pPr>
        <w:pStyle w:val="40"/>
        <w:wordWrap w:val="0"/>
        <w:rPr>
          <w:rFonts w:hAnsi="宋体"/>
          <w:color w:val="000000"/>
          <w:szCs w:val="21"/>
          <w:highlight w:val="none"/>
          <w:lang w:val="de-DE"/>
        </w:rPr>
      </w:pPr>
    </w:p>
    <w:p>
      <w:pPr>
        <w:pStyle w:val="40"/>
        <w:wordWrap w:val="0"/>
        <w:rPr>
          <w:rFonts w:hAnsi="宋体"/>
          <w:color w:val="000000"/>
          <w:szCs w:val="21"/>
          <w:highlight w:val="none"/>
          <w:lang w:val="de-DE"/>
        </w:rPr>
      </w:pPr>
      <w:r>
        <w:rPr>
          <w:rFonts w:hAnsi="宋体"/>
          <w:color w:val="000000"/>
          <w:szCs w:val="21"/>
          <w:highlight w:val="none"/>
          <w:lang w:val="de-DE"/>
        </w:rPr>
        <w:br w:type="page"/>
      </w:r>
    </w:p>
    <w:p>
      <w:pPr>
        <w:pStyle w:val="4"/>
        <w:numPr>
          <w:ilvl w:val="0"/>
          <w:numId w:val="0"/>
        </w:numPr>
        <w:tabs>
          <w:tab w:val="left" w:pos="567"/>
        </w:tabs>
        <w:spacing w:beforeLines="50" w:afterLines="50" w:line="240" w:lineRule="auto"/>
        <w:ind w:leftChars="0"/>
        <w:rPr>
          <w:rFonts w:ascii="黑体" w:hAnsi="黑体" w:eastAsia="黑体"/>
          <w:b w:val="0"/>
          <w:sz w:val="21"/>
          <w:szCs w:val="21"/>
          <w:highlight w:val="none"/>
        </w:rPr>
      </w:pPr>
      <w:bookmarkStart w:id="266" w:name="_Toc37775568"/>
      <w:bookmarkStart w:id="267" w:name="_Toc1630322831"/>
      <w:bookmarkStart w:id="268" w:name="_Toc975126982"/>
      <w:r>
        <w:rPr>
          <w:rFonts w:hint="default" w:ascii="黑体" w:hAnsi="黑体" w:eastAsia="黑体"/>
          <w:b w:val="0"/>
          <w:sz w:val="21"/>
          <w:szCs w:val="21"/>
          <w:highlight w:val="none"/>
          <w:lang w:val="en"/>
        </w:rPr>
        <w:t>B.2</w:t>
      </w:r>
      <w:r>
        <w:rPr>
          <w:rFonts w:hint="eastAsia" w:ascii="黑体" w:hAnsi="黑体" w:eastAsia="黑体"/>
          <w:b w:val="0"/>
          <w:sz w:val="21"/>
          <w:szCs w:val="21"/>
          <w:highlight w:val="none"/>
        </w:rPr>
        <w:t>财政总预算、行政单位、事业单位和税收会计档案保管期限表</w:t>
      </w:r>
      <w:bookmarkEnd w:id="266"/>
      <w:bookmarkEnd w:id="267"/>
      <w:bookmarkEnd w:id="268"/>
    </w:p>
    <w:tbl>
      <w:tblPr>
        <w:tblStyle w:val="24"/>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836"/>
        <w:gridCol w:w="1039"/>
        <w:gridCol w:w="1087"/>
        <w:gridCol w:w="104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56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宋体"/>
                <w:b/>
                <w:bCs/>
                <w:color w:val="000000"/>
                <w:highlight w:val="none"/>
              </w:rPr>
            </w:pPr>
            <w:r>
              <w:rPr>
                <w:rFonts w:hint="eastAsia" w:ascii="宋体" w:hAnsi="宋体" w:cs="宋体"/>
                <w:b/>
                <w:bCs/>
                <w:color w:val="000000"/>
                <w:highlight w:val="none"/>
              </w:rPr>
              <w:t>序号</w:t>
            </w:r>
          </w:p>
        </w:tc>
        <w:tc>
          <w:tcPr>
            <w:tcW w:w="28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宋体"/>
                <w:b/>
                <w:bCs/>
                <w:color w:val="000000"/>
                <w:highlight w:val="none"/>
              </w:rPr>
            </w:pPr>
            <w:r>
              <w:rPr>
                <w:rFonts w:hint="eastAsia" w:ascii="宋体" w:hAnsi="宋体" w:cs="宋体"/>
                <w:b/>
                <w:bCs/>
                <w:color w:val="000000"/>
                <w:highlight w:val="none"/>
              </w:rPr>
              <w:t>档案名称</w:t>
            </w:r>
          </w:p>
        </w:tc>
        <w:tc>
          <w:tcPr>
            <w:tcW w:w="316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宋体"/>
                <w:b/>
                <w:bCs/>
                <w:color w:val="000000"/>
                <w:highlight w:val="none"/>
              </w:rPr>
            </w:pPr>
            <w:r>
              <w:rPr>
                <w:rFonts w:hint="eastAsia" w:ascii="宋体" w:hAnsi="宋体" w:cs="宋体"/>
                <w:b/>
                <w:bCs/>
                <w:color w:val="000000"/>
                <w:highlight w:val="none"/>
              </w:rPr>
              <w:t>保管期限</w:t>
            </w:r>
          </w:p>
        </w:tc>
        <w:tc>
          <w:tcPr>
            <w:tcW w:w="222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宋体"/>
                <w:b/>
                <w:bCs/>
                <w:color w:val="000000"/>
                <w:highlight w:val="none"/>
              </w:rPr>
            </w:pPr>
            <w:r>
              <w:rPr>
                <w:rFonts w:hint="eastAsia" w:ascii="宋体" w:hAnsi="宋体" w:cs="宋体"/>
                <w:b/>
                <w:bCs/>
                <w:color w:val="00000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宋体"/>
                <w:color w:val="000000"/>
                <w:highlight w:val="none"/>
              </w:rPr>
            </w:pPr>
          </w:p>
        </w:tc>
        <w:tc>
          <w:tcPr>
            <w:tcW w:w="2836"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360" w:lineRule="exact"/>
              <w:jc w:val="center"/>
              <w:rPr>
                <w:rFonts w:ascii="宋体"/>
                <w:color w:val="000000"/>
                <w:highlight w:val="none"/>
              </w:rPr>
            </w:pP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宋体"/>
                <w:b/>
                <w:bCs/>
                <w:color w:val="000000"/>
                <w:highlight w:val="none"/>
              </w:rPr>
            </w:pPr>
            <w:r>
              <w:rPr>
                <w:rFonts w:hint="eastAsia" w:ascii="宋体" w:hAnsi="宋体" w:cs="宋体"/>
                <w:b/>
                <w:bCs/>
                <w:color w:val="000000"/>
                <w:highlight w:val="none"/>
              </w:rPr>
              <w:t>财政</w:t>
            </w:r>
          </w:p>
          <w:p>
            <w:pPr>
              <w:pStyle w:val="17"/>
              <w:pBdr>
                <w:bottom w:val="none" w:color="auto" w:sz="0" w:space="0"/>
              </w:pBdr>
              <w:tabs>
                <w:tab w:val="clear" w:pos="4153"/>
                <w:tab w:val="clear" w:pos="8306"/>
              </w:tabs>
              <w:adjustRightInd w:val="0"/>
              <w:spacing w:line="360" w:lineRule="exact"/>
              <w:rPr>
                <w:rFonts w:ascii="宋体"/>
                <w:b/>
                <w:bCs/>
                <w:color w:val="000000"/>
                <w:sz w:val="21"/>
                <w:szCs w:val="21"/>
                <w:highlight w:val="none"/>
              </w:rPr>
            </w:pPr>
            <w:r>
              <w:rPr>
                <w:rFonts w:hint="eastAsia" w:ascii="宋体" w:hAnsi="宋体" w:cs="宋体"/>
                <w:b/>
                <w:bCs/>
                <w:color w:val="000000"/>
                <w:sz w:val="21"/>
                <w:szCs w:val="21"/>
                <w:highlight w:val="none"/>
              </w:rPr>
              <w:t>总预算</w:t>
            </w:r>
          </w:p>
        </w:tc>
        <w:tc>
          <w:tcPr>
            <w:tcW w:w="1087" w:type="dxa"/>
            <w:tcBorders>
              <w:top w:val="single" w:color="auto" w:sz="4" w:space="0"/>
              <w:left w:val="single" w:color="auto" w:sz="4" w:space="0"/>
              <w:bottom w:val="single" w:color="auto" w:sz="4" w:space="0"/>
              <w:right w:val="single" w:color="auto" w:sz="4" w:space="0"/>
            </w:tcBorders>
            <w:vAlign w:val="center"/>
          </w:tcPr>
          <w:p>
            <w:pPr>
              <w:pStyle w:val="17"/>
              <w:pBdr>
                <w:bottom w:val="none" w:color="auto" w:sz="0" w:space="0"/>
              </w:pBdr>
              <w:tabs>
                <w:tab w:val="clear" w:pos="4153"/>
                <w:tab w:val="clear" w:pos="8306"/>
              </w:tabs>
              <w:adjustRightInd w:val="0"/>
              <w:spacing w:line="360" w:lineRule="exact"/>
              <w:rPr>
                <w:rFonts w:ascii="宋体"/>
                <w:b/>
                <w:bCs/>
                <w:color w:val="000000"/>
                <w:sz w:val="21"/>
                <w:szCs w:val="21"/>
                <w:highlight w:val="none"/>
              </w:rPr>
            </w:pPr>
            <w:r>
              <w:rPr>
                <w:rFonts w:hint="eastAsia" w:ascii="宋体" w:hAnsi="宋体" w:cs="宋体"/>
                <w:b/>
                <w:bCs/>
                <w:color w:val="000000"/>
                <w:sz w:val="21"/>
                <w:szCs w:val="21"/>
                <w:highlight w:val="none"/>
              </w:rPr>
              <w:t>行政单位</w:t>
            </w:r>
          </w:p>
          <w:p>
            <w:pPr>
              <w:adjustRightInd w:val="0"/>
              <w:snapToGrid w:val="0"/>
              <w:spacing w:line="360" w:lineRule="exact"/>
              <w:jc w:val="center"/>
              <w:rPr>
                <w:rFonts w:ascii="宋体"/>
                <w:b/>
                <w:bCs/>
                <w:color w:val="000000"/>
                <w:highlight w:val="none"/>
              </w:rPr>
            </w:pPr>
            <w:r>
              <w:rPr>
                <w:rFonts w:hint="eastAsia" w:ascii="宋体" w:hAnsi="宋体" w:cs="宋体"/>
                <w:b/>
                <w:bCs/>
                <w:color w:val="000000"/>
                <w:highlight w:val="none"/>
              </w:rPr>
              <w:t>事业单位</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宋体"/>
                <w:b/>
                <w:bCs/>
                <w:color w:val="000000"/>
                <w:highlight w:val="none"/>
              </w:rPr>
            </w:pPr>
            <w:r>
              <w:rPr>
                <w:rFonts w:hint="eastAsia" w:ascii="宋体" w:hAnsi="宋体" w:cs="宋体"/>
                <w:b/>
                <w:bCs/>
                <w:color w:val="000000"/>
                <w:highlight w:val="none"/>
              </w:rPr>
              <w:t>税收</w:t>
            </w:r>
          </w:p>
          <w:p>
            <w:pPr>
              <w:adjustRightInd w:val="0"/>
              <w:snapToGrid w:val="0"/>
              <w:spacing w:line="360" w:lineRule="exact"/>
              <w:jc w:val="center"/>
              <w:rPr>
                <w:rFonts w:ascii="宋体"/>
                <w:b/>
                <w:bCs/>
                <w:color w:val="000000"/>
                <w:highlight w:val="none"/>
              </w:rPr>
            </w:pPr>
            <w:r>
              <w:rPr>
                <w:rFonts w:hint="eastAsia" w:ascii="宋体" w:hAnsi="宋体" w:cs="宋体"/>
                <w:b/>
                <w:bCs/>
                <w:color w:val="000000"/>
                <w:highlight w:val="none"/>
              </w:rPr>
              <w:t>会计</w:t>
            </w:r>
          </w:p>
        </w:tc>
        <w:tc>
          <w:tcPr>
            <w:tcW w:w="2220"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360" w:lineRule="exact"/>
              <w:jc w:val="center"/>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r>
              <w:rPr>
                <w:rFonts w:hint="eastAsia" w:ascii="宋体" w:hAnsi="宋体" w:cs="宋体"/>
                <w:b/>
                <w:bCs/>
                <w:highlight w:val="none"/>
              </w:rPr>
              <w:t>一</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b/>
                <w:bCs/>
                <w:highlight w:val="none"/>
              </w:rPr>
            </w:pPr>
            <w:r>
              <w:rPr>
                <w:rFonts w:hint="eastAsia" w:ascii="宋体" w:hAnsi="宋体" w:cs="宋体"/>
                <w:b/>
                <w:bCs/>
                <w:highlight w:val="none"/>
              </w:rPr>
              <w:t>会计凭证</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pStyle w:val="17"/>
              <w:pBdr>
                <w:bottom w:val="none" w:color="auto" w:sz="0" w:space="0"/>
              </w:pBdr>
              <w:tabs>
                <w:tab w:val="clear" w:pos="4153"/>
                <w:tab w:val="clear" w:pos="8306"/>
              </w:tabs>
              <w:adjustRightInd w:val="0"/>
              <w:spacing w:line="260" w:lineRule="exact"/>
              <w:rPr>
                <w:rFonts w:ascii="宋体"/>
                <w:b/>
                <w:bCs/>
                <w:sz w:val="21"/>
                <w:szCs w:val="21"/>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1</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国家金库编送的各种报表及缴库退库凭证</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2</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各收入机关编送的报表</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3</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行政单位和事业单位的各种会计凭证</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包括：原始凭证、记账凭证和传票汇总表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4</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财政总预算拨款凭证和其他会计凭证</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包括：拨款凭证和其他会计凭证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r>
              <w:rPr>
                <w:rFonts w:hint="eastAsia" w:ascii="宋体" w:hAnsi="宋体" w:cs="宋体"/>
                <w:b/>
                <w:bCs/>
                <w:highlight w:val="none"/>
              </w:rPr>
              <w:t>二</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b/>
                <w:bCs/>
                <w:highlight w:val="none"/>
              </w:rPr>
            </w:pPr>
            <w:r>
              <w:rPr>
                <w:rFonts w:hint="eastAsia" w:ascii="宋体" w:hAnsi="宋体" w:cs="宋体"/>
                <w:b/>
                <w:bCs/>
                <w:highlight w:val="none"/>
              </w:rPr>
              <w:t>会计账簿</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5</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日记账</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6</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总账</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7</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税收日记账（总账）</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8</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明细分类、分户账或登记簿</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9</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行政单位和事业单位固定资产卡片</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固定资产报废清理后保管</w:t>
            </w:r>
            <w:r>
              <w:rPr>
                <w:rFonts w:ascii="宋体" w:hAnsi="宋体" w:cs="宋体"/>
                <w:highlight w:val="none"/>
              </w:rPr>
              <w:t>5</w:t>
            </w:r>
            <w:r>
              <w:rPr>
                <w:rFonts w:hint="eastAsia" w:ascii="宋体" w:hAnsi="宋体" w:cs="宋体"/>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r>
              <w:rPr>
                <w:rFonts w:hint="eastAsia" w:ascii="宋体" w:hAnsi="宋体" w:cs="宋体"/>
                <w:b/>
                <w:bCs/>
                <w:highlight w:val="none"/>
              </w:rPr>
              <w:t>三</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b/>
                <w:bCs/>
                <w:highlight w:val="none"/>
              </w:rPr>
            </w:pPr>
            <w:r>
              <w:rPr>
                <w:rFonts w:hint="eastAsia" w:ascii="宋体" w:hAnsi="宋体" w:cs="宋体"/>
                <w:b/>
                <w:bCs/>
                <w:highlight w:val="none"/>
              </w:rPr>
              <w:t>财务会计报告</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10</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政府综合财务报告</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下级财政、本级部门和单位报送的保管</w:t>
            </w:r>
            <w:r>
              <w:rPr>
                <w:rFonts w:ascii="宋体" w:hAnsi="宋体" w:cs="宋体"/>
                <w:highlight w:val="none"/>
              </w:rPr>
              <w:t>2</w:t>
            </w:r>
            <w:r>
              <w:rPr>
                <w:rFonts w:hint="eastAsia" w:ascii="宋体" w:hAnsi="宋体" w:cs="宋体"/>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11</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部门财务报告</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所属单位报送的保管</w:t>
            </w:r>
            <w:r>
              <w:rPr>
                <w:rFonts w:ascii="宋体" w:hAnsi="宋体" w:cs="宋体"/>
                <w:highlight w:val="none"/>
              </w:rPr>
              <w:t>2</w:t>
            </w:r>
            <w:r>
              <w:rPr>
                <w:rFonts w:hint="eastAsia" w:ascii="宋体" w:hAnsi="宋体" w:cs="宋体"/>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12</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财政总决算</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下级财政、本级部门和单位报送的保管</w:t>
            </w:r>
            <w:r>
              <w:rPr>
                <w:rFonts w:ascii="宋体" w:hAnsi="宋体" w:cs="宋体"/>
                <w:highlight w:val="none"/>
              </w:rPr>
              <w:t>2</w:t>
            </w:r>
            <w:r>
              <w:rPr>
                <w:rFonts w:hint="eastAsia" w:ascii="宋体" w:hAnsi="宋体" w:cs="宋体"/>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13</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部门决算</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所属单位报送的保管</w:t>
            </w:r>
            <w:r>
              <w:rPr>
                <w:rFonts w:ascii="宋体" w:hAnsi="宋体" w:cs="宋体"/>
                <w:highlight w:val="none"/>
              </w:rPr>
              <w:t>2</w:t>
            </w:r>
            <w:r>
              <w:rPr>
                <w:rFonts w:hint="eastAsia" w:ascii="宋体" w:hAnsi="宋体" w:cs="宋体"/>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14</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税收年报（决算）</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15</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国家金库年报（决算）</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16</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基本建设拨、贷款年报（决算）</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17</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行政单位和事业单位会计月、季度报表</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所属单位报送的保管</w:t>
            </w:r>
            <w:r>
              <w:rPr>
                <w:rFonts w:ascii="宋体" w:hAnsi="宋体" w:cs="宋体"/>
                <w:highlight w:val="none"/>
              </w:rPr>
              <w:t>2</w:t>
            </w:r>
            <w:r>
              <w:rPr>
                <w:rFonts w:hint="eastAsia" w:ascii="宋体" w:hAnsi="宋体" w:cs="宋体"/>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18</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税收会计报表</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所属税务机关报送的保管</w:t>
            </w:r>
            <w:r>
              <w:rPr>
                <w:rFonts w:ascii="宋体" w:hAnsi="宋体" w:cs="宋体"/>
                <w:highlight w:val="none"/>
              </w:rPr>
              <w:t>2</w:t>
            </w:r>
            <w:r>
              <w:rPr>
                <w:rFonts w:hint="eastAsia" w:ascii="宋体" w:hAnsi="宋体" w:cs="宋体"/>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r>
              <w:rPr>
                <w:rFonts w:hint="eastAsia" w:ascii="宋体" w:hAnsi="宋体" w:cs="宋体"/>
                <w:b/>
                <w:bCs/>
                <w:highlight w:val="none"/>
              </w:rPr>
              <w:t>四</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b/>
                <w:bCs/>
                <w:highlight w:val="none"/>
              </w:rPr>
            </w:pPr>
            <w:r>
              <w:rPr>
                <w:rFonts w:hint="eastAsia" w:ascii="宋体" w:hAnsi="宋体" w:cs="宋体"/>
                <w:b/>
                <w:bCs/>
                <w:highlight w:val="none"/>
              </w:rPr>
              <w:t>其他会计资料</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19</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银行存款余额调节表</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20</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银行对账单</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10</w:t>
            </w:r>
            <w:r>
              <w:rPr>
                <w:rFonts w:hint="eastAsia" w:ascii="宋体" w:hAnsi="宋体" w:cs="宋体"/>
                <w:highlight w:val="none"/>
              </w:rPr>
              <w:t>年</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21</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会计档案移交清册</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1040" w:type="dxa"/>
            <w:tcBorders>
              <w:top w:val="single" w:color="auto" w:sz="4" w:space="0"/>
              <w:left w:val="single" w:color="auto" w:sz="4" w:space="0"/>
              <w:bottom w:val="single" w:color="auto" w:sz="4" w:space="0"/>
              <w:right w:val="single" w:color="auto" w:sz="4" w:space="0"/>
            </w:tcBorders>
            <w:vAlign w:val="center"/>
          </w:tcPr>
          <w:p>
            <w:pPr>
              <w:jc w:val="center"/>
              <w:rPr>
                <w:rFonts w:ascii="宋体"/>
                <w:highlight w:val="none"/>
              </w:rPr>
            </w:pPr>
            <w:r>
              <w:rPr>
                <w:rFonts w:ascii="宋体" w:hAnsi="宋体" w:cs="宋体"/>
                <w:highlight w:val="none"/>
              </w:rPr>
              <w:t>30</w:t>
            </w:r>
            <w:r>
              <w:rPr>
                <w:rFonts w:hint="eastAsia" w:ascii="宋体" w:hAnsi="宋体" w:cs="宋体"/>
                <w:highlight w:val="none"/>
              </w:rPr>
              <w:t>年</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22</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会计档案保管清册</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ascii="宋体"/>
                <w:highlight w:val="none"/>
              </w:rPr>
            </w:pPr>
            <w:r>
              <w:rPr>
                <w:rFonts w:hint="eastAsia" w:ascii="宋体" w:hAnsi="宋体" w:cs="宋体"/>
                <w:highlight w:val="none"/>
              </w:rPr>
              <w:t>永久</w:t>
            </w:r>
          </w:p>
        </w:tc>
        <w:tc>
          <w:tcPr>
            <w:tcW w:w="1040" w:type="dxa"/>
            <w:tcBorders>
              <w:top w:val="single" w:color="auto" w:sz="4" w:space="0"/>
              <w:left w:val="single" w:color="auto" w:sz="4" w:space="0"/>
              <w:bottom w:val="single" w:color="auto" w:sz="4" w:space="0"/>
              <w:right w:val="single" w:color="auto" w:sz="4" w:space="0"/>
            </w:tcBorders>
            <w:vAlign w:val="center"/>
          </w:tcPr>
          <w:p>
            <w:pPr>
              <w:jc w:val="center"/>
              <w:rPr>
                <w:rFonts w:ascii="宋体"/>
                <w:highlight w:val="none"/>
              </w:rPr>
            </w:pPr>
            <w:r>
              <w:rPr>
                <w:rFonts w:hint="eastAsia" w:ascii="宋体" w:hAnsi="宋体" w:cs="宋体"/>
                <w:highlight w:val="none"/>
              </w:rPr>
              <w:t>永久</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23</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会计档案销毁清册</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Ansi="宋体" w:cs="宋体"/>
                <w:highlight w:val="none"/>
              </w:rPr>
            </w:pPr>
            <w:r>
              <w:rPr>
                <w:rFonts w:ascii="宋体" w:hAnsi="宋体" w:cs="宋体"/>
                <w:highlight w:val="none"/>
              </w:rPr>
              <w:t>24</w:t>
            </w:r>
          </w:p>
        </w:tc>
        <w:tc>
          <w:tcPr>
            <w:tcW w:w="28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r>
              <w:rPr>
                <w:rFonts w:hint="eastAsia" w:ascii="宋体" w:hAnsi="宋体" w:cs="宋体"/>
                <w:highlight w:val="none"/>
              </w:rPr>
              <w:t>会计档案鉴定意见书</w:t>
            </w:r>
          </w:p>
        </w:tc>
        <w:tc>
          <w:tcPr>
            <w:tcW w:w="10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1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highlight w:val="none"/>
              </w:rPr>
            </w:pPr>
            <w:r>
              <w:rPr>
                <w:rFonts w:hint="eastAsia" w:ascii="宋体" w:hAnsi="宋体" w:cs="宋体"/>
                <w:highlight w:val="none"/>
              </w:rPr>
              <w:t>永久</w:t>
            </w:r>
          </w:p>
        </w:tc>
        <w:tc>
          <w:tcPr>
            <w:tcW w:w="22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rPr>
                <w:rFonts w:ascii="宋体"/>
                <w:highlight w:val="none"/>
              </w:rPr>
            </w:pPr>
          </w:p>
        </w:tc>
      </w:tr>
    </w:tbl>
    <w:p>
      <w:pPr>
        <w:rPr>
          <w:szCs w:val="21"/>
          <w:highlight w:val="none"/>
        </w:rPr>
      </w:pPr>
      <w:r>
        <w:rPr>
          <w:rFonts w:hint="eastAsia" w:cs="宋体"/>
          <w:color w:val="000000"/>
          <w:highlight w:val="none"/>
        </w:rPr>
        <w:t>注：税务机关的税务经费会计档案保管期限，按照行政单位会计档案保管期限规定办理。</w:t>
      </w:r>
    </w:p>
    <w:p>
      <w:pPr>
        <w:rPr>
          <w:highlight w:val="none"/>
        </w:rPr>
      </w:pPr>
    </w:p>
    <w:p>
      <w:pPr>
        <w:pStyle w:val="58"/>
        <w:wordWrap w:val="0"/>
        <w:spacing w:before="640" w:beforeLines="0" w:after="200" w:afterLines="0"/>
        <w:jc w:val="center"/>
        <w:outlineLvl w:val="0"/>
        <w:rPr>
          <w:rFonts w:hAnsi="黑体"/>
          <w:lang w:val="de-DE"/>
        </w:rPr>
      </w:pPr>
      <w:r>
        <w:rPr>
          <w:rFonts w:hint="eastAsia" w:hAnsi="黑体"/>
          <w:lang w:val="de-DE"/>
        </w:rPr>
        <w:t>附 录 C</w:t>
      </w:r>
      <w:r>
        <w:rPr>
          <w:rFonts w:hAnsi="黑体"/>
          <w:lang w:val="de-DE"/>
        </w:rPr>
        <w:br w:type="textWrapping" w:clear="all"/>
      </w:r>
      <w:r>
        <w:rPr>
          <w:rFonts w:hint="eastAsia" w:hAnsi="黑体"/>
          <w:lang w:val="de-DE"/>
        </w:rPr>
        <w:t>（资料性附录）</w:t>
      </w:r>
      <w:r>
        <w:rPr>
          <w:rFonts w:hAnsi="黑体"/>
          <w:lang w:val="de-DE"/>
        </w:rPr>
        <w:br w:type="textWrapping" w:clear="all"/>
      </w:r>
      <w:r>
        <w:rPr>
          <w:rFonts w:hint="eastAsia" w:hAnsi="黑体"/>
          <w:lang w:val="de-DE"/>
        </w:rPr>
        <w:t>电子会计档案管理元数据方案</w:t>
      </w:r>
    </w:p>
    <w:p>
      <w:pPr>
        <w:widowControl/>
        <w:autoSpaceDE w:val="0"/>
        <w:autoSpaceDN w:val="0"/>
        <w:ind w:firstLine="420" w:firstLineChars="200"/>
        <w:rPr>
          <w:rFonts w:ascii="黑体" w:hAnsi="黑体" w:eastAsia="黑体"/>
          <w:kern w:val="0"/>
          <w:szCs w:val="21"/>
          <w:lang w:val="de-DE"/>
        </w:rPr>
      </w:pPr>
      <w:r>
        <w:rPr>
          <w:rFonts w:hint="eastAsia" w:ascii="宋体"/>
          <w:kern w:val="0"/>
          <w:szCs w:val="20"/>
        </w:rPr>
        <w:t>本方案参考《文书类电子文件元数据方案》（DA/T 46），结合目前电子会计资料归档和电子会计档案管理的实际制定。</w:t>
      </w:r>
    </w:p>
    <w:p>
      <w:pPr>
        <w:rPr>
          <w:lang w:val="de-DE"/>
        </w:rPr>
      </w:pPr>
    </w:p>
    <w:p>
      <w:pPr>
        <w:autoSpaceDE w:val="0"/>
        <w:autoSpaceDN w:val="0"/>
        <w:adjustRightInd w:val="0"/>
        <w:jc w:val="center"/>
        <w:rPr>
          <w:rFonts w:ascii="黑体" w:eastAsia="黑体" w:cs="黑体"/>
          <w:kern w:val="0"/>
          <w:sz w:val="20"/>
          <w:szCs w:val="20"/>
        </w:rPr>
      </w:pPr>
      <w:r>
        <w:rPr>
          <w:rFonts w:hint="eastAsia" w:ascii="黑体" w:eastAsia="黑体" w:cs="黑体"/>
          <w:kern w:val="0"/>
          <w:szCs w:val="21"/>
        </w:rPr>
        <w:t>表</w:t>
      </w:r>
      <w:r>
        <w:rPr>
          <w:rFonts w:ascii="黑体" w:eastAsia="黑体" w:cs="黑体"/>
          <w:kern w:val="0"/>
          <w:szCs w:val="21"/>
        </w:rPr>
        <w:t xml:space="preserve">1 </w:t>
      </w:r>
      <w:r>
        <w:rPr>
          <w:rFonts w:hint="eastAsia" w:ascii="黑体" w:eastAsia="黑体" w:cs="黑体"/>
          <w:kern w:val="0"/>
          <w:szCs w:val="21"/>
        </w:rPr>
        <w:t>文件实体元数据</w:t>
      </w:r>
    </w:p>
    <w:p>
      <w:pPr>
        <w:rPr>
          <w:lang w:val="de-DE"/>
        </w:rPr>
      </w:pPr>
    </w:p>
    <w:tbl>
      <w:tblPr>
        <w:tblStyle w:val="24"/>
        <w:tblW w:w="82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96"/>
        <w:gridCol w:w="1596"/>
        <w:gridCol w:w="836"/>
        <w:gridCol w:w="1710"/>
        <w:gridCol w:w="1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blHeader/>
          <w:jc w:val="center"/>
        </w:trPr>
        <w:tc>
          <w:tcPr>
            <w:tcW w:w="2296" w:type="dxa"/>
            <w:vAlign w:val="center"/>
          </w:tcPr>
          <w:p>
            <w:pPr>
              <w:widowControl/>
              <w:autoSpaceDE w:val="0"/>
              <w:autoSpaceDN w:val="0"/>
              <w:jc w:val="center"/>
              <w:rPr>
                <w:rFonts w:hint="eastAsia" w:ascii="宋体"/>
                <w:b/>
                <w:bCs/>
                <w:kern w:val="0"/>
                <w:sz w:val="18"/>
                <w:szCs w:val="18"/>
              </w:rPr>
            </w:pPr>
            <w:r>
              <w:rPr>
                <w:rFonts w:hint="eastAsia" w:ascii="宋体"/>
                <w:b/>
                <w:bCs/>
                <w:kern w:val="0"/>
                <w:sz w:val="18"/>
                <w:szCs w:val="18"/>
              </w:rPr>
              <w:t>编号</w:t>
            </w:r>
          </w:p>
        </w:tc>
        <w:tc>
          <w:tcPr>
            <w:tcW w:w="1596" w:type="dxa"/>
            <w:vAlign w:val="center"/>
          </w:tcPr>
          <w:p>
            <w:pPr>
              <w:widowControl/>
              <w:autoSpaceDE w:val="0"/>
              <w:autoSpaceDN w:val="0"/>
              <w:jc w:val="center"/>
              <w:rPr>
                <w:rFonts w:hint="eastAsia" w:ascii="宋体"/>
                <w:b/>
                <w:bCs/>
                <w:kern w:val="0"/>
                <w:sz w:val="18"/>
                <w:szCs w:val="18"/>
              </w:rPr>
            </w:pPr>
            <w:r>
              <w:rPr>
                <w:rFonts w:hint="eastAsia" w:ascii="宋体"/>
                <w:b/>
                <w:bCs/>
                <w:kern w:val="0"/>
                <w:sz w:val="18"/>
                <w:szCs w:val="18"/>
              </w:rPr>
              <w:t>元数据</w:t>
            </w:r>
          </w:p>
        </w:tc>
        <w:tc>
          <w:tcPr>
            <w:tcW w:w="836" w:type="dxa"/>
            <w:vAlign w:val="center"/>
          </w:tcPr>
          <w:p>
            <w:pPr>
              <w:widowControl/>
              <w:autoSpaceDE w:val="0"/>
              <w:autoSpaceDN w:val="0"/>
              <w:jc w:val="center"/>
              <w:rPr>
                <w:rFonts w:hint="eastAsia" w:ascii="宋体"/>
                <w:b/>
                <w:bCs/>
                <w:kern w:val="0"/>
                <w:sz w:val="18"/>
                <w:szCs w:val="18"/>
              </w:rPr>
            </w:pPr>
            <w:r>
              <w:rPr>
                <w:rFonts w:hint="eastAsia" w:ascii="宋体"/>
                <w:b/>
                <w:bCs/>
                <w:kern w:val="0"/>
                <w:sz w:val="18"/>
                <w:szCs w:val="18"/>
              </w:rPr>
              <w:t>编号</w:t>
            </w:r>
          </w:p>
        </w:tc>
        <w:tc>
          <w:tcPr>
            <w:tcW w:w="1710" w:type="dxa"/>
            <w:vAlign w:val="center"/>
          </w:tcPr>
          <w:p>
            <w:pPr>
              <w:widowControl/>
              <w:autoSpaceDE w:val="0"/>
              <w:autoSpaceDN w:val="0"/>
              <w:jc w:val="center"/>
              <w:rPr>
                <w:rFonts w:hint="eastAsia" w:ascii="宋体"/>
                <w:b/>
                <w:bCs/>
                <w:kern w:val="0"/>
                <w:sz w:val="18"/>
                <w:szCs w:val="18"/>
              </w:rPr>
            </w:pPr>
            <w:r>
              <w:rPr>
                <w:rFonts w:hint="eastAsia" w:ascii="宋体"/>
                <w:b/>
                <w:bCs/>
                <w:kern w:val="0"/>
                <w:sz w:val="18"/>
                <w:szCs w:val="18"/>
              </w:rPr>
              <w:t>元数据</w:t>
            </w:r>
          </w:p>
        </w:tc>
        <w:tc>
          <w:tcPr>
            <w:tcW w:w="1838" w:type="dxa"/>
            <w:vAlign w:val="center"/>
          </w:tcPr>
          <w:p>
            <w:pPr>
              <w:widowControl/>
              <w:autoSpaceDE w:val="0"/>
              <w:autoSpaceDN w:val="0"/>
              <w:jc w:val="center"/>
              <w:rPr>
                <w:rFonts w:hint="eastAsia" w:ascii="宋体"/>
                <w:b/>
                <w:bCs/>
                <w:kern w:val="0"/>
                <w:sz w:val="18"/>
                <w:szCs w:val="18"/>
              </w:rPr>
            </w:pPr>
            <w:r>
              <w:rPr>
                <w:rFonts w:hint="eastAsia" w:ascii="宋体"/>
                <w:b/>
                <w:bCs/>
                <w:kern w:val="0"/>
                <w:sz w:val="18"/>
                <w:szCs w:val="18"/>
                <w:highlight w:val="none"/>
              </w:rPr>
              <w:t>来源系统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596" w:type="dxa"/>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聚合层次</w:t>
            </w:r>
          </w:p>
        </w:tc>
        <w:tc>
          <w:tcPr>
            <w:tcW w:w="836" w:type="dxa"/>
            <w:vAlign w:val="center"/>
          </w:tcPr>
          <w:p>
            <w:pPr>
              <w:pStyle w:val="70"/>
              <w:widowControl/>
              <w:autoSpaceDE w:val="0"/>
              <w:autoSpaceDN w:val="0"/>
              <w:ind w:left="420" w:firstLine="0" w:firstLineChars="0"/>
              <w:jc w:val="center"/>
              <w:rPr>
                <w:rFonts w:hint="eastAsia" w:ascii="宋体"/>
                <w:kern w:val="0"/>
                <w:sz w:val="18"/>
                <w:szCs w:val="18"/>
              </w:rPr>
            </w:pPr>
          </w:p>
        </w:tc>
        <w:tc>
          <w:tcPr>
            <w:tcW w:w="1710" w:type="dxa"/>
            <w:vAlign w:val="center"/>
          </w:tcPr>
          <w:p>
            <w:pPr>
              <w:widowControl/>
              <w:autoSpaceDE w:val="0"/>
              <w:autoSpaceDN w:val="0"/>
              <w:jc w:val="center"/>
              <w:rPr>
                <w:rFonts w:hint="eastAsia" w:ascii="宋体"/>
                <w:kern w:val="0"/>
                <w:sz w:val="18"/>
                <w:szCs w:val="18"/>
              </w:rPr>
            </w:pPr>
          </w:p>
        </w:tc>
        <w:tc>
          <w:tcPr>
            <w:tcW w:w="1838" w:type="dxa"/>
            <w:vAlign w:val="center"/>
          </w:tcPr>
          <w:p>
            <w:pPr>
              <w:widowControl/>
              <w:autoSpaceDE w:val="0"/>
              <w:autoSpaceDN w:val="0"/>
              <w:jc w:val="center"/>
              <w:rPr>
                <w:rFonts w:hint="eastAsia" w:ascii="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restart"/>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596" w:type="dxa"/>
            <w:vMerge w:val="restart"/>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来源</w:t>
            </w:r>
          </w:p>
        </w:tc>
        <w:tc>
          <w:tcPr>
            <w:tcW w:w="836" w:type="dxa"/>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档案馆名称</w:t>
            </w:r>
          </w:p>
        </w:tc>
        <w:tc>
          <w:tcPr>
            <w:tcW w:w="1838" w:type="dxa"/>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档案馆代码</w:t>
            </w:r>
          </w:p>
        </w:tc>
        <w:tc>
          <w:tcPr>
            <w:tcW w:w="1838" w:type="dxa"/>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全宗名称</w:t>
            </w:r>
          </w:p>
        </w:tc>
        <w:tc>
          <w:tcPr>
            <w:tcW w:w="1838" w:type="dxa"/>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立档单位名称</w:t>
            </w:r>
          </w:p>
        </w:tc>
        <w:tc>
          <w:tcPr>
            <w:tcW w:w="1838" w:type="dxa"/>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596" w:type="dxa"/>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电子文件号</w:t>
            </w:r>
          </w:p>
        </w:tc>
        <w:tc>
          <w:tcPr>
            <w:tcW w:w="836" w:type="dxa"/>
            <w:vAlign w:val="center"/>
          </w:tcPr>
          <w:p>
            <w:pPr>
              <w:pStyle w:val="70"/>
              <w:widowControl/>
              <w:autoSpaceDE w:val="0"/>
              <w:autoSpaceDN w:val="0"/>
              <w:ind w:left="420" w:firstLine="0" w:firstLineChars="0"/>
              <w:jc w:val="center"/>
              <w:rPr>
                <w:rFonts w:hint="eastAsia" w:ascii="宋体"/>
                <w:kern w:val="0"/>
                <w:sz w:val="18"/>
                <w:szCs w:val="18"/>
              </w:rPr>
            </w:pPr>
          </w:p>
        </w:tc>
        <w:tc>
          <w:tcPr>
            <w:tcW w:w="1710" w:type="dxa"/>
            <w:vAlign w:val="center"/>
          </w:tcPr>
          <w:p>
            <w:pPr>
              <w:autoSpaceDE w:val="0"/>
              <w:autoSpaceDN w:val="0"/>
              <w:adjustRightInd w:val="0"/>
              <w:jc w:val="center"/>
              <w:rPr>
                <w:rFonts w:hint="eastAsia" w:ascii="宋体" w:cs="宋体"/>
                <w:kern w:val="0"/>
                <w:sz w:val="18"/>
                <w:szCs w:val="18"/>
              </w:rPr>
            </w:pPr>
          </w:p>
        </w:tc>
        <w:tc>
          <w:tcPr>
            <w:tcW w:w="1838" w:type="dxa"/>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restart"/>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596" w:type="dxa"/>
            <w:vMerge w:val="restart"/>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档号</w:t>
            </w:r>
          </w:p>
        </w:tc>
        <w:tc>
          <w:tcPr>
            <w:tcW w:w="836" w:type="dxa"/>
            <w:vAlign w:val="center"/>
          </w:tcPr>
          <w:p>
            <w:pPr>
              <w:numPr>
                <w:ilvl w:val="0"/>
                <w:numId w:val="4"/>
              </w:numPr>
              <w:autoSpaceDE w:val="0"/>
              <w:autoSpaceDN w:val="0"/>
              <w:adjustRightInd w:val="0"/>
              <w:jc w:val="center"/>
              <w:rPr>
                <w:rFonts w:ascii="宋体" w:cs="宋体"/>
                <w:kern w:val="0"/>
                <w:sz w:val="18"/>
                <w:szCs w:val="18"/>
              </w:rPr>
            </w:pPr>
          </w:p>
        </w:tc>
        <w:tc>
          <w:tcPr>
            <w:tcW w:w="1710" w:type="dxa"/>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全宗号</w:t>
            </w:r>
          </w:p>
        </w:tc>
        <w:tc>
          <w:tcPr>
            <w:tcW w:w="1838" w:type="dxa"/>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bottom w:val="single" w:color="000000" w:sz="4" w:space="0"/>
              <w:right w:val="single" w:color="000000" w:sz="4" w:space="0"/>
            </w:tcBorders>
            <w:vAlign w:val="center"/>
          </w:tcPr>
          <w:p>
            <w:pPr>
              <w:numPr>
                <w:ilvl w:val="0"/>
                <w:numId w:val="4"/>
              </w:numPr>
              <w:autoSpaceDE w:val="0"/>
              <w:autoSpaceDN w:val="0"/>
              <w:adjustRightInd w:val="0"/>
              <w:jc w:val="center"/>
              <w:rPr>
                <w:rFonts w:ascii="宋体" w:cs="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目录号</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bottom w:val="single" w:color="000000" w:sz="4" w:space="0"/>
              <w:right w:val="single" w:color="000000" w:sz="4" w:space="0"/>
            </w:tcBorders>
            <w:vAlign w:val="center"/>
          </w:tcPr>
          <w:p>
            <w:pPr>
              <w:numPr>
                <w:ilvl w:val="0"/>
                <w:numId w:val="4"/>
              </w:numPr>
              <w:autoSpaceDE w:val="0"/>
              <w:autoSpaceDN w:val="0"/>
              <w:adjustRightInd w:val="0"/>
              <w:jc w:val="center"/>
              <w:rPr>
                <w:rFonts w:ascii="宋体" w:cs="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年度</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bottom w:val="single" w:color="000000" w:sz="4" w:space="0"/>
              <w:right w:val="single" w:color="000000" w:sz="4" w:space="0"/>
            </w:tcBorders>
            <w:vAlign w:val="center"/>
          </w:tcPr>
          <w:p>
            <w:pPr>
              <w:numPr>
                <w:ilvl w:val="0"/>
                <w:numId w:val="4"/>
              </w:numPr>
              <w:autoSpaceDE w:val="0"/>
              <w:autoSpaceDN w:val="0"/>
              <w:adjustRightInd w:val="0"/>
              <w:jc w:val="center"/>
              <w:rPr>
                <w:rFonts w:ascii="宋体" w:cs="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保管期限</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bottom w:val="single" w:color="000000" w:sz="4" w:space="0"/>
              <w:right w:val="single" w:color="000000" w:sz="4" w:space="0"/>
            </w:tcBorders>
            <w:vAlign w:val="center"/>
          </w:tcPr>
          <w:p>
            <w:pPr>
              <w:numPr>
                <w:ilvl w:val="0"/>
                <w:numId w:val="4"/>
              </w:numPr>
              <w:autoSpaceDE w:val="0"/>
              <w:autoSpaceDN w:val="0"/>
              <w:adjustRightInd w:val="0"/>
              <w:jc w:val="center"/>
              <w:rPr>
                <w:rFonts w:ascii="宋体" w:cs="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机构或问题</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bottom w:val="single" w:color="000000" w:sz="4" w:space="0"/>
              <w:right w:val="single" w:color="000000" w:sz="4" w:space="0"/>
            </w:tcBorders>
            <w:vAlign w:val="center"/>
          </w:tcPr>
          <w:p>
            <w:pPr>
              <w:numPr>
                <w:ilvl w:val="0"/>
                <w:numId w:val="4"/>
              </w:numPr>
              <w:autoSpaceDE w:val="0"/>
              <w:autoSpaceDN w:val="0"/>
              <w:adjustRightInd w:val="0"/>
              <w:jc w:val="center"/>
              <w:rPr>
                <w:rFonts w:ascii="宋体" w:cs="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类别号</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bottom w:val="single" w:color="000000" w:sz="4" w:space="0"/>
              <w:right w:val="single" w:color="000000" w:sz="4" w:space="0"/>
            </w:tcBorders>
            <w:vAlign w:val="center"/>
          </w:tcPr>
          <w:p>
            <w:pPr>
              <w:numPr>
                <w:ilvl w:val="0"/>
                <w:numId w:val="4"/>
              </w:numPr>
              <w:autoSpaceDE w:val="0"/>
              <w:autoSpaceDN w:val="0"/>
              <w:adjustRightInd w:val="0"/>
              <w:jc w:val="center"/>
              <w:rPr>
                <w:rFonts w:ascii="宋体" w:cs="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室编案卷号</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bottom w:val="single" w:color="000000" w:sz="4" w:space="0"/>
              <w:right w:val="single" w:color="000000" w:sz="4" w:space="0"/>
            </w:tcBorders>
            <w:vAlign w:val="center"/>
          </w:tcPr>
          <w:p>
            <w:pPr>
              <w:numPr>
                <w:ilvl w:val="0"/>
                <w:numId w:val="4"/>
              </w:numPr>
              <w:autoSpaceDE w:val="0"/>
              <w:autoSpaceDN w:val="0"/>
              <w:adjustRightInd w:val="0"/>
              <w:jc w:val="center"/>
              <w:rPr>
                <w:rFonts w:ascii="宋体" w:cs="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馆编案卷号</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bottom w:val="single" w:color="000000" w:sz="4" w:space="0"/>
              <w:right w:val="single" w:color="000000" w:sz="4" w:space="0"/>
            </w:tcBorders>
            <w:vAlign w:val="center"/>
          </w:tcPr>
          <w:p>
            <w:pPr>
              <w:numPr>
                <w:ilvl w:val="0"/>
                <w:numId w:val="4"/>
              </w:numPr>
              <w:autoSpaceDE w:val="0"/>
              <w:autoSpaceDN w:val="0"/>
              <w:adjustRightInd w:val="0"/>
              <w:jc w:val="center"/>
              <w:rPr>
                <w:rFonts w:ascii="宋体" w:cs="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室编件号</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bottom w:val="single" w:color="000000" w:sz="4" w:space="0"/>
              <w:right w:val="single" w:color="000000" w:sz="4" w:space="0"/>
            </w:tcBorders>
            <w:vAlign w:val="center"/>
          </w:tcPr>
          <w:p>
            <w:pPr>
              <w:numPr>
                <w:ilvl w:val="0"/>
                <w:numId w:val="4"/>
              </w:numPr>
              <w:autoSpaceDE w:val="0"/>
              <w:autoSpaceDN w:val="0"/>
              <w:adjustRightInd w:val="0"/>
              <w:jc w:val="center"/>
              <w:rPr>
                <w:rFonts w:ascii="宋体" w:cs="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馆编件号</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bottom w:val="single" w:color="000000" w:sz="4" w:space="0"/>
              <w:right w:val="single" w:color="000000" w:sz="4" w:space="0"/>
            </w:tcBorders>
            <w:vAlign w:val="center"/>
          </w:tcPr>
          <w:p>
            <w:pPr>
              <w:numPr>
                <w:ilvl w:val="0"/>
                <w:numId w:val="4"/>
              </w:numPr>
              <w:autoSpaceDE w:val="0"/>
              <w:autoSpaceDN w:val="0"/>
              <w:adjustRightInd w:val="0"/>
              <w:jc w:val="center"/>
              <w:rPr>
                <w:rFonts w:ascii="宋体" w:cs="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文档序号</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bottom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bottom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bottom w:val="single" w:color="000000" w:sz="4" w:space="0"/>
              <w:right w:val="single" w:color="000000" w:sz="4" w:space="0"/>
            </w:tcBorders>
            <w:vAlign w:val="center"/>
          </w:tcPr>
          <w:p>
            <w:pPr>
              <w:numPr>
                <w:ilvl w:val="0"/>
                <w:numId w:val="4"/>
              </w:numPr>
              <w:autoSpaceDE w:val="0"/>
              <w:autoSpaceDN w:val="0"/>
              <w:adjustRightInd w:val="0"/>
              <w:jc w:val="center"/>
              <w:rPr>
                <w:rFonts w:ascii="宋体" w:cs="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页号</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restart"/>
            <w:tcBorders>
              <w:top w:val="single" w:color="000000" w:sz="4" w:space="0"/>
              <w:left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596" w:type="dxa"/>
            <w:vMerge w:val="restart"/>
            <w:tcBorders>
              <w:top w:val="single" w:color="000000" w:sz="4" w:space="0"/>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内容描述</w:t>
            </w: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题名</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并列题名</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副题名</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说明题名文字</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主题词</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cs="宋体"/>
                <w:kern w:val="0"/>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关键词</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cs="宋体"/>
                <w:kern w:val="0"/>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人名</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摘要</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分类号</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文件编号</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责任者</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日期</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文种</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紧急程度</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主送</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抄送</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密级</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utoSpaceDE w:val="0"/>
              <w:autoSpaceDN w:val="0"/>
              <w:jc w:val="center"/>
              <w:rPr>
                <w:rFonts w:hint="eastAsia" w:ascii="宋体"/>
                <w:kern w:val="0"/>
                <w:sz w:val="18"/>
                <w:szCs w:val="18"/>
              </w:rPr>
            </w:pPr>
            <w:r>
              <w:rPr>
                <w:rFonts w:hint="eastAsia" w:ascii="宋体"/>
                <w:kern w:val="0"/>
                <w:sz w:val="18"/>
                <w:szCs w:val="18"/>
              </w:rPr>
              <w:t>保密期限</w:t>
            </w:r>
          </w:p>
        </w:tc>
        <w:tc>
          <w:tcPr>
            <w:tcW w:w="1838" w:type="dxa"/>
            <w:tcBorders>
              <w:top w:val="single" w:color="000000" w:sz="4" w:space="0"/>
              <w:left w:val="single" w:color="000000" w:sz="4" w:space="0"/>
              <w:bottom w:val="single" w:color="000000" w:sz="4" w:space="0"/>
              <w:right w:val="single" w:color="000000" w:sz="4" w:space="0"/>
            </w:tcBorders>
            <w:vAlign w:val="center"/>
          </w:tcPr>
          <w:p>
            <w:pPr>
              <w:widowControl/>
              <w:autoSpaceDE w:val="0"/>
              <w:autoSpaceDN w:val="0"/>
              <w:jc w:val="center"/>
              <w:rPr>
                <w:rFonts w:hint="eastAsia" w:ascii="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utoSpaceDE w:val="0"/>
              <w:autoSpaceDN w:val="0"/>
              <w:jc w:val="center"/>
              <w:rPr>
                <w:rFonts w:hint="eastAsia" w:ascii="宋体"/>
                <w:kern w:val="0"/>
                <w:sz w:val="18"/>
                <w:szCs w:val="18"/>
              </w:rPr>
            </w:pPr>
            <w:r>
              <w:rPr>
                <w:rFonts w:hint="eastAsia" w:ascii="宋体"/>
                <w:kern w:val="0"/>
                <w:sz w:val="18"/>
                <w:szCs w:val="18"/>
              </w:rPr>
              <w:t>会计年度</w:t>
            </w:r>
          </w:p>
        </w:tc>
        <w:tc>
          <w:tcPr>
            <w:tcW w:w="1838" w:type="dxa"/>
            <w:tcBorders>
              <w:top w:val="single" w:color="000000" w:sz="4" w:space="0"/>
              <w:left w:val="single" w:color="000000" w:sz="4" w:space="0"/>
              <w:bottom w:val="single" w:color="000000" w:sz="4" w:space="0"/>
              <w:right w:val="single" w:color="000000" w:sz="4" w:space="0"/>
            </w:tcBorders>
            <w:vAlign w:val="center"/>
          </w:tcPr>
          <w:p>
            <w:pPr>
              <w:widowControl/>
              <w:autoSpaceDE w:val="0"/>
              <w:autoSpaceDN w:val="0"/>
              <w:jc w:val="center"/>
              <w:rPr>
                <w:rFonts w:hint="eastAsia" w:ascii="宋体"/>
                <w:kern w:val="0"/>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autoSpaceDE w:val="0"/>
              <w:autoSpaceDN w:val="0"/>
              <w:jc w:val="center"/>
              <w:rPr>
                <w:rFonts w:hint="eastAsia" w:ascii="宋体"/>
                <w:kern w:val="0"/>
                <w:sz w:val="18"/>
                <w:szCs w:val="18"/>
              </w:rPr>
            </w:pPr>
            <w:r>
              <w:rPr>
                <w:rFonts w:hint="eastAsia" w:ascii="宋体"/>
                <w:kern w:val="0"/>
                <w:sz w:val="18"/>
                <w:szCs w:val="18"/>
              </w:rPr>
              <w:t>会计月份</w:t>
            </w:r>
          </w:p>
        </w:tc>
        <w:tc>
          <w:tcPr>
            <w:tcW w:w="1838" w:type="dxa"/>
            <w:tcBorders>
              <w:top w:val="single" w:color="000000" w:sz="4" w:space="0"/>
              <w:left w:val="single" w:color="000000" w:sz="4" w:space="0"/>
              <w:bottom w:val="single" w:color="000000" w:sz="4" w:space="0"/>
              <w:right w:val="single" w:color="000000" w:sz="4" w:space="0"/>
            </w:tcBorders>
            <w:vAlign w:val="center"/>
          </w:tcPr>
          <w:p>
            <w:pPr>
              <w:widowControl/>
              <w:autoSpaceDE w:val="0"/>
              <w:autoSpaceDN w:val="0"/>
              <w:jc w:val="center"/>
              <w:rPr>
                <w:rFonts w:hint="eastAsia" w:ascii="宋体"/>
                <w:kern w:val="0"/>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本位币</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编制人</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编制日期</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审核人</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审核日期</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关联凭证类型（适用于会计凭证）</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关联凭证名称（适用于会计凭证）</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关联凭证编号（适用于会计凭证）</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关联凭证日期（适用于会计凭证）</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关联凭证制单人（适用于会计凭证）</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bottom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sz w:val="18"/>
                <w:szCs w:val="18"/>
              </w:rPr>
              <w:t>关联凭证制单日期（适用于会计凭证）</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sz w:val="18"/>
                <w:szCs w:val="18"/>
              </w:rPr>
            </w:pPr>
            <w:r>
              <w:rPr>
                <w:rFonts w:hint="eastAsia" w:ascii="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restart"/>
            <w:tcBorders>
              <w:top w:val="single" w:color="000000" w:sz="4" w:space="0"/>
              <w:left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596" w:type="dxa"/>
            <w:vMerge w:val="restart"/>
            <w:tcBorders>
              <w:top w:val="single" w:color="000000" w:sz="4" w:space="0"/>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形式特证</w:t>
            </w: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文件组合类型</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件数</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ascii="宋体" w:cs="宋体"/>
                <w:kern w:val="0"/>
                <w:sz w:val="18"/>
                <w:szCs w:val="18"/>
              </w:rPr>
              <w:t>页数</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cs="宋体"/>
                <w:kern w:val="0"/>
                <w:sz w:val="18"/>
                <w:szCs w:val="18"/>
              </w:rPr>
            </w:pPr>
            <w:r>
              <w:rPr>
                <w:rFonts w:hint="eastAsia"/>
                <w:kern w:val="0"/>
                <w:sz w:val="18"/>
                <w:szCs w:val="18"/>
              </w:rPr>
              <w:t>语种</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bottom w:val="single" w:color="000000" w:sz="4" w:space="0"/>
              <w:right w:val="single" w:color="000000" w:sz="4" w:space="0"/>
            </w:tcBorders>
            <w:vAlign w:val="center"/>
          </w:tcPr>
          <w:p>
            <w:pPr>
              <w:pStyle w:val="70"/>
              <w:widowControl/>
              <w:autoSpaceDE w:val="0"/>
              <w:autoSpaceDN w:val="0"/>
              <w:ind w:left="420" w:firstLine="0" w:firstLineChars="0"/>
              <w:jc w:val="center"/>
              <w:rPr>
                <w:rFonts w:hint="eastAsia" w:ascii="宋体"/>
                <w:kern w:val="0"/>
                <w:sz w:val="18"/>
                <w:szCs w:val="18"/>
              </w:rPr>
            </w:pPr>
          </w:p>
        </w:tc>
        <w:tc>
          <w:tcPr>
            <w:tcW w:w="1596" w:type="dxa"/>
            <w:vMerge w:val="continue"/>
            <w:tcBorders>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cs="宋体"/>
                <w:kern w:val="0"/>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pStyle w:val="70"/>
              <w:widowControl/>
              <w:numPr>
                <w:ilvl w:val="0"/>
                <w:numId w:val="4"/>
              </w:numPr>
              <w:autoSpaceDE w:val="0"/>
              <w:autoSpaceDN w:val="0"/>
              <w:ind w:firstLineChars="0"/>
              <w:jc w:val="center"/>
              <w:rPr>
                <w:rFonts w:hint="eastAsia" w:ascii="宋体"/>
                <w:kern w:val="0"/>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ascii="宋体"/>
                <w:kern w:val="0"/>
                <w:sz w:val="18"/>
                <w:szCs w:val="18"/>
              </w:rPr>
            </w:pPr>
            <w:r>
              <w:rPr>
                <w:rFonts w:hint="eastAsia"/>
                <w:kern w:val="0"/>
                <w:sz w:val="18"/>
                <w:szCs w:val="18"/>
              </w:rPr>
              <w:t>稿本</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hint="eastAsia"/>
                <w:kern w:val="0"/>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restart"/>
            <w:tcBorders>
              <w:top w:val="single" w:color="000000" w:sz="4" w:space="0"/>
              <w:left w:val="single" w:color="000000" w:sz="4" w:space="0"/>
              <w:right w:val="single" w:color="000000" w:sz="4" w:space="0"/>
            </w:tcBorders>
            <w:vAlign w:val="center"/>
          </w:tcPr>
          <w:p>
            <w:pPr>
              <w:numPr>
                <w:ilvl w:val="0"/>
                <w:numId w:val="4"/>
              </w:numPr>
              <w:jc w:val="center"/>
              <w:rPr>
                <w:rFonts w:ascii="宋体" w:hAnsi="宋体"/>
                <w:sz w:val="18"/>
                <w:szCs w:val="18"/>
              </w:rPr>
            </w:pPr>
            <w:r>
              <w:rPr>
                <w:rFonts w:ascii="Tahoma" w:hAnsi="Tahoma" w:cs="Tahoma"/>
                <w:sz w:val="18"/>
                <w:szCs w:val="18"/>
              </w:rPr>
              <w:t>﻿</w:t>
            </w:r>
          </w:p>
        </w:tc>
        <w:tc>
          <w:tcPr>
            <w:tcW w:w="1596" w:type="dxa"/>
            <w:vMerge w:val="restart"/>
            <w:tcBorders>
              <w:top w:val="single" w:color="000000" w:sz="4" w:space="0"/>
              <w:left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电子属性</w:t>
            </w: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格式信息</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计算机文件名</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计算机文件大小</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文档创建程序</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信息系统描述</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restart"/>
            <w:tcBorders>
              <w:top w:val="single" w:color="000000" w:sz="4" w:space="0"/>
              <w:left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596"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数字化属性</w:t>
            </w: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数字化对象形态</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扫描分辨率</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扫描色彩模式</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图像压缩方案</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restart"/>
            <w:tcBorders>
              <w:top w:val="single" w:color="000000" w:sz="4" w:space="0"/>
              <w:left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596"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电子签名</w:t>
            </w: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签名规则</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签名时间</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签名人</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签名结果</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证书</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证书引证</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签名算法标识</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restart"/>
            <w:tcBorders>
              <w:top w:val="single" w:color="000000" w:sz="4" w:space="0"/>
              <w:left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596"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存储位置</w:t>
            </w: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当前位置</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脱机载体编号</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脱机载体存址</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缩微号</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restart"/>
            <w:tcBorders>
              <w:top w:val="single" w:color="000000" w:sz="4" w:space="0"/>
              <w:left w:val="single" w:color="000000" w:sz="4" w:space="0"/>
              <w:right w:val="single" w:color="000000" w:sz="4" w:space="0"/>
            </w:tcBorders>
            <w:vAlign w:val="center"/>
          </w:tcPr>
          <w:p>
            <w:pPr>
              <w:numPr>
                <w:ilvl w:val="0"/>
                <w:numId w:val="4"/>
              </w:numPr>
              <w:jc w:val="center"/>
              <w:rPr>
                <w:rFonts w:ascii="宋体" w:hAnsi="宋体"/>
                <w:sz w:val="18"/>
                <w:szCs w:val="18"/>
              </w:rPr>
            </w:pPr>
          </w:p>
        </w:tc>
        <w:tc>
          <w:tcPr>
            <w:tcW w:w="1596" w:type="dxa"/>
            <w:vMerge w:val="restart"/>
            <w:tcBorders>
              <w:top w:val="single" w:color="000000" w:sz="4" w:space="0"/>
              <w:left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权限管理</w:t>
            </w: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知识产权说明</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授权对象</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jc w:val="center"/>
        </w:trPr>
        <w:tc>
          <w:tcPr>
            <w:tcW w:w="22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授权行为</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159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控制标识</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59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附注</w:t>
            </w:r>
          </w:p>
        </w:tc>
        <w:tc>
          <w:tcPr>
            <w:tcW w:w="8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restart"/>
            <w:tcBorders>
              <w:top w:val="single" w:color="000000" w:sz="4" w:space="0"/>
              <w:left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596"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检测标识（四性检测）</w:t>
            </w: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检测节点</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ind w:left="420"/>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检测类型（人工、自动）</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ind w:left="420"/>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检测时间</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right w:val="single" w:color="000000" w:sz="4" w:space="0"/>
            </w:tcBorders>
            <w:vAlign w:val="center"/>
          </w:tcPr>
          <w:p>
            <w:pPr>
              <w:ind w:left="420"/>
              <w:jc w:val="center"/>
              <w:rPr>
                <w:rFonts w:hint="eastAsia" w:ascii="宋体" w:hAnsi="宋体"/>
                <w:sz w:val="18"/>
                <w:szCs w:val="18"/>
              </w:rPr>
            </w:pPr>
          </w:p>
        </w:tc>
        <w:tc>
          <w:tcPr>
            <w:tcW w:w="1596" w:type="dxa"/>
            <w:vMerge w:val="continue"/>
            <w:tcBorders>
              <w:left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检测结果</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296" w:type="dxa"/>
            <w:vMerge w:val="continue"/>
            <w:tcBorders>
              <w:left w:val="single" w:color="000000" w:sz="4" w:space="0"/>
              <w:bottom w:val="single" w:color="000000" w:sz="4" w:space="0"/>
              <w:right w:val="single" w:color="000000" w:sz="4" w:space="0"/>
            </w:tcBorders>
            <w:vAlign w:val="center"/>
          </w:tcPr>
          <w:p>
            <w:pPr>
              <w:ind w:left="420"/>
              <w:jc w:val="center"/>
              <w:rPr>
                <w:rFonts w:hint="eastAsia" w:ascii="宋体" w:hAnsi="宋体"/>
                <w:sz w:val="18"/>
                <w:szCs w:val="18"/>
              </w:rPr>
            </w:pPr>
          </w:p>
        </w:tc>
        <w:tc>
          <w:tcPr>
            <w:tcW w:w="159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836"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检测人</w:t>
            </w:r>
          </w:p>
        </w:tc>
        <w:tc>
          <w:tcPr>
            <w:tcW w:w="18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cs="宋体"/>
                <w:kern w:val="0"/>
                <w:sz w:val="18"/>
                <w:szCs w:val="18"/>
              </w:rPr>
              <w:t>档案系统</w:t>
            </w:r>
          </w:p>
        </w:tc>
      </w:tr>
    </w:tbl>
    <w:p>
      <w:pPr>
        <w:autoSpaceDE w:val="0"/>
        <w:autoSpaceDN w:val="0"/>
        <w:adjustRightInd w:val="0"/>
        <w:jc w:val="center"/>
        <w:rPr>
          <w:rFonts w:ascii="黑体" w:eastAsia="黑体" w:cs="黑体"/>
          <w:kern w:val="0"/>
          <w:szCs w:val="21"/>
        </w:rPr>
      </w:pPr>
    </w:p>
    <w:p>
      <w:pPr>
        <w:autoSpaceDE w:val="0"/>
        <w:autoSpaceDN w:val="0"/>
        <w:adjustRightInd w:val="0"/>
        <w:jc w:val="both"/>
        <w:rPr>
          <w:rFonts w:ascii="黑体" w:eastAsia="黑体" w:cs="黑体"/>
          <w:kern w:val="0"/>
          <w:szCs w:val="21"/>
        </w:rPr>
      </w:pPr>
    </w:p>
    <w:p>
      <w:pPr>
        <w:autoSpaceDE w:val="0"/>
        <w:autoSpaceDN w:val="0"/>
        <w:adjustRightInd w:val="0"/>
        <w:jc w:val="center"/>
        <w:rPr>
          <w:rFonts w:ascii="黑体" w:eastAsia="黑体" w:cs="黑体"/>
          <w:kern w:val="0"/>
          <w:szCs w:val="21"/>
        </w:rPr>
      </w:pPr>
    </w:p>
    <w:p>
      <w:pPr>
        <w:autoSpaceDE w:val="0"/>
        <w:autoSpaceDN w:val="0"/>
        <w:adjustRightInd w:val="0"/>
        <w:jc w:val="center"/>
        <w:rPr>
          <w:rFonts w:hint="eastAsia" w:ascii="黑体" w:eastAsia="黑体" w:cs="黑体"/>
          <w:kern w:val="0"/>
          <w:szCs w:val="21"/>
        </w:rPr>
      </w:pPr>
      <w:r>
        <w:rPr>
          <w:rFonts w:hint="eastAsia" w:ascii="黑体" w:eastAsia="黑体" w:cs="黑体"/>
          <w:kern w:val="0"/>
          <w:szCs w:val="21"/>
        </w:rPr>
        <w:t>表</w:t>
      </w:r>
      <w:r>
        <w:rPr>
          <w:rFonts w:hint="eastAsia" w:ascii="宋体" w:hAnsi="宋体" w:cs="宋体"/>
          <w:kern w:val="0"/>
          <w:szCs w:val="21"/>
        </w:rPr>
        <w:t>2</w:t>
      </w:r>
      <w:r>
        <w:rPr>
          <w:rFonts w:ascii="宋体" w:hAnsi="宋体" w:cs="宋体"/>
          <w:kern w:val="0"/>
          <w:szCs w:val="21"/>
        </w:rPr>
        <w:t xml:space="preserve"> </w:t>
      </w:r>
      <w:r>
        <w:rPr>
          <w:rFonts w:hint="eastAsia" w:ascii="黑体" w:eastAsia="黑体" w:cs="黑体"/>
          <w:kern w:val="0"/>
          <w:szCs w:val="21"/>
        </w:rPr>
        <w:t>机构人员实体元数据</w:t>
      </w:r>
    </w:p>
    <w:p>
      <w:pPr>
        <w:rPr>
          <w:rFonts w:hint="eastAsia"/>
          <w:lang w:val="de-DE"/>
        </w:rPr>
      </w:pPr>
    </w:p>
    <w:tbl>
      <w:tblPr>
        <w:tblStyle w:val="24"/>
        <w:tblW w:w="74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8"/>
        <w:gridCol w:w="1377"/>
        <w:gridCol w:w="992"/>
        <w:gridCol w:w="1134"/>
        <w:gridCol w:w="29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02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ascii="Tahoma" w:hAnsi="Tahoma" w:cs="Tahoma"/>
                <w:b/>
                <w:bCs/>
                <w:sz w:val="18"/>
                <w:szCs w:val="18"/>
              </w:rPr>
              <w:t>﻿</w:t>
            </w:r>
            <w:r>
              <w:rPr>
                <w:rFonts w:hint="eastAsia" w:ascii="宋体" w:hAnsi="宋体"/>
                <w:b/>
                <w:bCs/>
                <w:sz w:val="18"/>
                <w:szCs w:val="18"/>
              </w:rPr>
              <w:t>编号</w:t>
            </w:r>
          </w:p>
        </w:tc>
        <w:tc>
          <w:tcPr>
            <w:tcW w:w="13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hint="eastAsia" w:ascii="宋体" w:hAnsi="宋体"/>
                <w:b/>
                <w:bCs/>
                <w:sz w:val="18"/>
                <w:szCs w:val="18"/>
              </w:rPr>
              <w:t>元数据</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hint="eastAsia" w:ascii="宋体" w:hAnsi="宋体"/>
                <w:b/>
                <w:bCs/>
                <w:sz w:val="18"/>
                <w:szCs w:val="18"/>
              </w:rPr>
              <w:t>编号</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hint="eastAsia" w:ascii="宋体" w:hAnsi="宋体"/>
                <w:b/>
                <w:bCs/>
                <w:sz w:val="18"/>
                <w:szCs w:val="18"/>
              </w:rPr>
              <w:t>元数据</w:t>
            </w:r>
          </w:p>
        </w:tc>
        <w:tc>
          <w:tcPr>
            <w:tcW w:w="29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b/>
                <w:bCs/>
                <w:sz w:val="18"/>
                <w:szCs w:val="18"/>
              </w:rPr>
            </w:pPr>
            <w:r>
              <w:rPr>
                <w:rFonts w:hint="eastAsia" w:ascii="宋体" w:hAnsi="宋体"/>
                <w:b/>
                <w:bCs/>
                <w:sz w:val="18"/>
                <w:szCs w:val="18"/>
              </w:rPr>
              <w:t>来源系统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028"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ascii="宋体" w:hAnsi="宋体"/>
                <w:sz w:val="18"/>
                <w:szCs w:val="18"/>
              </w:rPr>
            </w:pPr>
          </w:p>
        </w:tc>
        <w:tc>
          <w:tcPr>
            <w:tcW w:w="13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机构人员类型</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29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028"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3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机构人员名称</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29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028"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3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组织机构代码</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29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028"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3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个人职位</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29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bl>
    <w:p>
      <w:pPr>
        <w:rPr>
          <w:lang w:val="de-DE"/>
        </w:rPr>
      </w:pPr>
    </w:p>
    <w:p>
      <w:pPr>
        <w:autoSpaceDE w:val="0"/>
        <w:autoSpaceDN w:val="0"/>
        <w:adjustRightInd w:val="0"/>
        <w:jc w:val="center"/>
        <w:rPr>
          <w:rFonts w:hint="eastAsia" w:ascii="黑体" w:eastAsia="黑体" w:cs="黑体"/>
          <w:kern w:val="0"/>
          <w:szCs w:val="21"/>
        </w:rPr>
      </w:pPr>
    </w:p>
    <w:p>
      <w:pPr>
        <w:autoSpaceDE w:val="0"/>
        <w:autoSpaceDN w:val="0"/>
        <w:adjustRightInd w:val="0"/>
        <w:jc w:val="center"/>
        <w:rPr>
          <w:rFonts w:hint="eastAsia" w:ascii="黑体" w:eastAsia="黑体" w:cs="黑体"/>
          <w:kern w:val="0"/>
          <w:szCs w:val="21"/>
        </w:rPr>
      </w:pPr>
    </w:p>
    <w:p>
      <w:pPr>
        <w:autoSpaceDE w:val="0"/>
        <w:autoSpaceDN w:val="0"/>
        <w:adjustRightInd w:val="0"/>
        <w:jc w:val="center"/>
        <w:rPr>
          <w:rFonts w:hint="eastAsia" w:ascii="黑体" w:eastAsia="黑体" w:cs="黑体"/>
          <w:kern w:val="0"/>
          <w:szCs w:val="21"/>
        </w:rPr>
      </w:pPr>
    </w:p>
    <w:p>
      <w:pPr>
        <w:autoSpaceDE w:val="0"/>
        <w:autoSpaceDN w:val="0"/>
        <w:adjustRightInd w:val="0"/>
        <w:jc w:val="center"/>
        <w:rPr>
          <w:rFonts w:hint="eastAsia" w:ascii="黑体" w:eastAsia="黑体" w:cs="黑体"/>
          <w:kern w:val="0"/>
          <w:szCs w:val="21"/>
        </w:rPr>
      </w:pPr>
    </w:p>
    <w:p>
      <w:pPr>
        <w:autoSpaceDE w:val="0"/>
        <w:autoSpaceDN w:val="0"/>
        <w:adjustRightInd w:val="0"/>
        <w:jc w:val="center"/>
        <w:rPr>
          <w:rFonts w:hint="eastAsia" w:ascii="黑体" w:eastAsia="黑体" w:cs="黑体"/>
          <w:kern w:val="0"/>
          <w:szCs w:val="21"/>
        </w:rPr>
      </w:pPr>
    </w:p>
    <w:p>
      <w:pPr>
        <w:autoSpaceDE w:val="0"/>
        <w:autoSpaceDN w:val="0"/>
        <w:adjustRightInd w:val="0"/>
        <w:jc w:val="center"/>
        <w:rPr>
          <w:rFonts w:ascii="黑体" w:eastAsia="黑体" w:cs="黑体"/>
          <w:kern w:val="0"/>
          <w:sz w:val="20"/>
          <w:szCs w:val="20"/>
        </w:rPr>
      </w:pPr>
      <w:r>
        <w:rPr>
          <w:rFonts w:hint="eastAsia" w:ascii="黑体" w:eastAsia="黑体" w:cs="黑体"/>
          <w:kern w:val="0"/>
          <w:szCs w:val="21"/>
        </w:rPr>
        <w:t>表</w:t>
      </w:r>
      <w:r>
        <w:rPr>
          <w:rFonts w:ascii="黑体" w:eastAsia="黑体" w:cs="黑体"/>
          <w:kern w:val="0"/>
          <w:szCs w:val="21"/>
        </w:rPr>
        <w:t xml:space="preserve">3 </w:t>
      </w:r>
      <w:r>
        <w:rPr>
          <w:rFonts w:hint="eastAsia" w:ascii="黑体" w:eastAsia="黑体" w:cs="黑体"/>
          <w:kern w:val="0"/>
          <w:szCs w:val="21"/>
        </w:rPr>
        <w:t>业务实体元数据</w:t>
      </w:r>
    </w:p>
    <w:p>
      <w:pPr>
        <w:rPr>
          <w:lang w:val="de-DE"/>
        </w:rPr>
      </w:pPr>
    </w:p>
    <w:tbl>
      <w:tblPr>
        <w:tblStyle w:val="24"/>
        <w:tblW w:w="79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4"/>
        <w:gridCol w:w="1384"/>
        <w:gridCol w:w="1186"/>
        <w:gridCol w:w="798"/>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hint="eastAsia" w:ascii="宋体" w:hAnsi="宋体"/>
                <w:b/>
                <w:bCs/>
                <w:sz w:val="18"/>
                <w:szCs w:val="18"/>
              </w:rPr>
              <w:t>编号</w:t>
            </w:r>
          </w:p>
        </w:tc>
        <w:tc>
          <w:tcPr>
            <w:tcW w:w="138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hint="eastAsia" w:ascii="宋体" w:hAnsi="宋体"/>
                <w:b/>
                <w:bCs/>
                <w:sz w:val="18"/>
                <w:szCs w:val="18"/>
              </w:rPr>
              <w:t>元数据</w:t>
            </w:r>
          </w:p>
        </w:tc>
        <w:tc>
          <w:tcPr>
            <w:tcW w:w="11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hint="eastAsia" w:ascii="宋体" w:hAnsi="宋体"/>
                <w:b/>
                <w:bCs/>
                <w:sz w:val="18"/>
                <w:szCs w:val="18"/>
              </w:rPr>
              <w:t>编号</w:t>
            </w:r>
          </w:p>
        </w:tc>
        <w:tc>
          <w:tcPr>
            <w:tcW w:w="79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hint="eastAsia" w:ascii="宋体" w:hAnsi="宋体"/>
                <w:b/>
                <w:bCs/>
                <w:sz w:val="18"/>
                <w:szCs w:val="18"/>
              </w:rPr>
              <w:t>元数据</w:t>
            </w:r>
          </w:p>
        </w:tc>
        <w:tc>
          <w:tcPr>
            <w:tcW w:w="340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b/>
                <w:bCs/>
                <w:sz w:val="18"/>
                <w:szCs w:val="18"/>
              </w:rPr>
            </w:pPr>
            <w:r>
              <w:rPr>
                <w:rFonts w:hint="eastAsia" w:ascii="宋体" w:hAnsi="宋体"/>
                <w:b/>
                <w:bCs/>
                <w:sz w:val="18"/>
                <w:szCs w:val="18"/>
              </w:rPr>
              <w:t>来源系统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44"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38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业务状态</w:t>
            </w:r>
          </w:p>
        </w:tc>
        <w:tc>
          <w:tcPr>
            <w:tcW w:w="11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79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340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44"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38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业务行为</w:t>
            </w:r>
          </w:p>
        </w:tc>
        <w:tc>
          <w:tcPr>
            <w:tcW w:w="11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79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340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44"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38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行为时间</w:t>
            </w:r>
          </w:p>
        </w:tc>
        <w:tc>
          <w:tcPr>
            <w:tcW w:w="11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79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340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44"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38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行为依据</w:t>
            </w:r>
          </w:p>
        </w:tc>
        <w:tc>
          <w:tcPr>
            <w:tcW w:w="11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79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340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44"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38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行为描述</w:t>
            </w:r>
          </w:p>
        </w:tc>
        <w:tc>
          <w:tcPr>
            <w:tcW w:w="11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79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340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bl>
    <w:p>
      <w:pPr>
        <w:autoSpaceDE w:val="0"/>
        <w:autoSpaceDN w:val="0"/>
        <w:adjustRightInd w:val="0"/>
        <w:rPr>
          <w:rFonts w:ascii="黑体" w:eastAsia="黑体" w:cs="黑体"/>
          <w:kern w:val="0"/>
          <w:szCs w:val="21"/>
        </w:rPr>
      </w:pPr>
    </w:p>
    <w:p>
      <w:pPr>
        <w:autoSpaceDE w:val="0"/>
        <w:autoSpaceDN w:val="0"/>
        <w:adjustRightInd w:val="0"/>
        <w:rPr>
          <w:rFonts w:hint="eastAsia" w:ascii="黑体" w:eastAsia="黑体" w:cs="黑体"/>
          <w:kern w:val="0"/>
          <w:szCs w:val="21"/>
        </w:rPr>
      </w:pPr>
    </w:p>
    <w:p>
      <w:pPr>
        <w:autoSpaceDE w:val="0"/>
        <w:autoSpaceDN w:val="0"/>
        <w:adjustRightInd w:val="0"/>
        <w:jc w:val="center"/>
        <w:rPr>
          <w:rFonts w:ascii="黑体" w:eastAsia="黑体" w:cs="黑体"/>
          <w:kern w:val="0"/>
          <w:szCs w:val="21"/>
        </w:rPr>
      </w:pPr>
      <w:r>
        <w:rPr>
          <w:rFonts w:hint="eastAsia" w:ascii="黑体" w:eastAsia="黑体" w:cs="黑体"/>
          <w:kern w:val="0"/>
          <w:szCs w:val="21"/>
        </w:rPr>
        <w:t>表</w:t>
      </w:r>
      <w:r>
        <w:rPr>
          <w:rFonts w:ascii="黑体" w:eastAsia="黑体" w:cs="黑体"/>
          <w:kern w:val="0"/>
          <w:szCs w:val="21"/>
        </w:rPr>
        <w:t xml:space="preserve">4 </w:t>
      </w:r>
      <w:r>
        <w:rPr>
          <w:rFonts w:hint="eastAsia" w:ascii="黑体" w:eastAsia="黑体" w:cs="黑体"/>
          <w:kern w:val="0"/>
          <w:szCs w:val="21"/>
        </w:rPr>
        <w:t xml:space="preserve">实体关系元数据 </w:t>
      </w:r>
      <w:r>
        <w:rPr>
          <w:rFonts w:ascii="黑体" w:eastAsia="黑体" w:cs="黑体"/>
          <w:kern w:val="0"/>
          <w:szCs w:val="21"/>
        </w:rPr>
        <w:t xml:space="preserve">            </w:t>
      </w:r>
    </w:p>
    <w:p>
      <w:pPr>
        <w:autoSpaceDE w:val="0"/>
        <w:autoSpaceDN w:val="0"/>
        <w:adjustRightInd w:val="0"/>
        <w:jc w:val="center"/>
        <w:rPr>
          <w:rFonts w:hint="eastAsia" w:ascii="黑体" w:eastAsia="黑体" w:cs="黑体"/>
          <w:kern w:val="0"/>
          <w:sz w:val="20"/>
          <w:szCs w:val="20"/>
        </w:rPr>
      </w:pPr>
    </w:p>
    <w:tbl>
      <w:tblPr>
        <w:tblStyle w:val="24"/>
        <w:tblW w:w="76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5"/>
        <w:gridCol w:w="1275"/>
        <w:gridCol w:w="992"/>
        <w:gridCol w:w="977"/>
        <w:gridCol w:w="2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5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hint="eastAsia" w:ascii="宋体" w:hAnsi="宋体"/>
                <w:b/>
                <w:bCs/>
                <w:sz w:val="18"/>
                <w:szCs w:val="18"/>
              </w:rPr>
              <w:t>编号</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hint="eastAsia" w:ascii="宋体" w:hAnsi="宋体"/>
                <w:b/>
                <w:bCs/>
                <w:sz w:val="18"/>
                <w:szCs w:val="18"/>
              </w:rPr>
              <w:t>元数据</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hint="eastAsia" w:ascii="宋体" w:hAnsi="宋体"/>
                <w:b/>
                <w:bCs/>
                <w:sz w:val="18"/>
                <w:szCs w:val="18"/>
              </w:rPr>
              <w:t>编号</w:t>
            </w:r>
          </w:p>
        </w:tc>
        <w:tc>
          <w:tcPr>
            <w:tcW w:w="9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18"/>
                <w:szCs w:val="18"/>
              </w:rPr>
            </w:pPr>
            <w:r>
              <w:rPr>
                <w:rFonts w:hint="eastAsia" w:ascii="宋体" w:hAnsi="宋体"/>
                <w:b/>
                <w:bCs/>
                <w:sz w:val="18"/>
                <w:szCs w:val="18"/>
              </w:rPr>
              <w:t>元数据</w:t>
            </w:r>
          </w:p>
        </w:tc>
        <w:tc>
          <w:tcPr>
            <w:tcW w:w="288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b/>
                <w:bCs/>
                <w:sz w:val="18"/>
                <w:szCs w:val="18"/>
              </w:rPr>
            </w:pPr>
            <w:r>
              <w:rPr>
                <w:rFonts w:hint="eastAsia" w:ascii="宋体" w:hAnsi="宋体"/>
                <w:b/>
                <w:bCs/>
                <w:sz w:val="18"/>
                <w:szCs w:val="18"/>
              </w:rPr>
              <w:t>来源系统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555"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实体标识符</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9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288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555"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关系类型</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9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288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555"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关系</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9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288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555" w:type="dxa"/>
            <w:tcBorders>
              <w:top w:val="single" w:color="000000" w:sz="4" w:space="0"/>
              <w:left w:val="single" w:color="000000" w:sz="4" w:space="0"/>
              <w:bottom w:val="single" w:color="000000" w:sz="4" w:space="0"/>
              <w:right w:val="single" w:color="000000" w:sz="4" w:space="0"/>
            </w:tcBorders>
            <w:vAlign w:val="center"/>
          </w:tcPr>
          <w:p>
            <w:pPr>
              <w:numPr>
                <w:ilvl w:val="0"/>
                <w:numId w:val="4"/>
              </w:numPr>
              <w:jc w:val="center"/>
              <w:rPr>
                <w:rFonts w:hint="eastAsia" w:ascii="宋体" w:hAnsi="宋体"/>
                <w:sz w:val="18"/>
                <w:szCs w:val="18"/>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r>
              <w:rPr>
                <w:rFonts w:hint="eastAsia" w:ascii="宋体" w:hAnsi="宋体"/>
                <w:sz w:val="18"/>
                <w:szCs w:val="18"/>
              </w:rPr>
              <w:t>关系描述</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9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 w:val="18"/>
                <w:szCs w:val="18"/>
              </w:rPr>
            </w:pPr>
          </w:p>
        </w:tc>
        <w:tc>
          <w:tcPr>
            <w:tcW w:w="288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kern w:val="2"/>
                <w:sz w:val="18"/>
                <w:szCs w:val="18"/>
                <w:lang w:val="en-US" w:eastAsia="zh-CN" w:bidi="ar-SA"/>
              </w:rPr>
            </w:pPr>
            <w:r>
              <w:rPr>
                <w:rFonts w:hint="eastAsia"/>
                <w:sz w:val="18"/>
                <w:szCs w:val="18"/>
              </w:rPr>
              <w:t>会计资料形成系统、档案系统</w:t>
            </w:r>
          </w:p>
        </w:tc>
      </w:tr>
    </w:tbl>
    <w:p>
      <w:pPr>
        <w:rPr>
          <w:lang w:val="de-DE"/>
        </w:rPr>
      </w:pPr>
    </w:p>
    <w:p>
      <w:pPr>
        <w:rPr>
          <w:color w:val="FF0000"/>
          <w:lang w:val="de-DE"/>
        </w:rPr>
      </w:pPr>
    </w:p>
    <w:p>
      <w:pPr>
        <w:ind w:firstLine="360" w:firstLineChars="200"/>
        <w:rPr>
          <w:rFonts w:hint="eastAsia"/>
          <w:color w:val="FF0000"/>
          <w:sz w:val="18"/>
          <w:szCs w:val="18"/>
          <w:lang w:val="de-DE"/>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jc w:val="center"/>
        <w:rPr>
          <w:rFonts w:hint="eastAsia" w:ascii="黑体" w:hAnsi="黑体" w:eastAsia="黑体" w:cs="黑体"/>
        </w:rPr>
      </w:pPr>
      <w:r>
        <w:rPr>
          <w:rFonts w:hint="eastAsia" w:ascii="黑体" w:hAnsi="黑体" w:eastAsia="黑体" w:cs="黑体"/>
        </w:rPr>
        <w:t>附录D</w:t>
      </w:r>
    </w:p>
    <w:p>
      <w:pPr>
        <w:jc w:val="center"/>
        <w:rPr>
          <w:rFonts w:hint="eastAsia" w:ascii="黑体" w:hAnsi="黑体" w:eastAsia="黑体" w:cs="黑体"/>
        </w:rPr>
      </w:pPr>
      <w:r>
        <w:rPr>
          <w:rFonts w:hint="eastAsia" w:ascii="黑体" w:hAnsi="黑体" w:eastAsia="黑体" w:cs="黑体"/>
          <w:lang w:val="de-DE"/>
        </w:rPr>
        <w:t>（规范性附录）</w:t>
      </w:r>
    </w:p>
    <w:p>
      <w:pPr>
        <w:jc w:val="center"/>
        <w:rPr>
          <w:rFonts w:hint="eastAsia" w:ascii="黑体" w:hAnsi="黑体" w:eastAsia="黑体" w:cs="黑体"/>
          <w:sz w:val="21"/>
          <w:szCs w:val="21"/>
        </w:rPr>
      </w:pPr>
      <w:r>
        <w:rPr>
          <w:rFonts w:hint="eastAsia" w:ascii="黑体" w:hAnsi="黑体" w:eastAsia="黑体" w:cs="黑体"/>
          <w:sz w:val="21"/>
          <w:szCs w:val="21"/>
        </w:rPr>
        <w:t>会计核算系统、电子会计档案管理系统归档接口原理</w:t>
      </w:r>
    </w:p>
    <w:p>
      <w:pPr>
        <w:jc w:val="center"/>
      </w:pPr>
    </w:p>
    <w:p>
      <w:pPr>
        <w:pStyle w:val="71"/>
        <w:numPr>
          <w:ilvl w:val="0"/>
          <w:numId w:val="0"/>
        </w:numPr>
        <w:autoSpaceDE w:val="0"/>
        <w:autoSpaceDN w:val="0"/>
        <w:spacing w:line="360" w:lineRule="auto"/>
        <w:ind w:firstLine="424" w:firstLineChars="202"/>
        <w:jc w:val="left"/>
        <w:rPr>
          <w:rFonts w:ascii="宋体" w:hAnsi="宋体" w:eastAsia="宋体"/>
        </w:rPr>
      </w:pPr>
      <w:bookmarkStart w:id="269" w:name="_Toc3397589"/>
      <w:bookmarkStart w:id="270" w:name="_Toc3483828"/>
      <w:bookmarkStart w:id="271" w:name="_Toc36740362"/>
      <w:bookmarkStart w:id="272" w:name="_Toc36729509"/>
      <w:bookmarkStart w:id="273" w:name="_Toc37921686"/>
      <w:bookmarkStart w:id="274" w:name="_Toc33460552"/>
      <w:bookmarkStart w:id="275" w:name="_Toc34297112"/>
      <w:bookmarkStart w:id="276" w:name="_Toc34067132"/>
      <w:bookmarkStart w:id="277" w:name="_Toc34067129"/>
      <w:bookmarkStart w:id="278" w:name="_Toc33460549"/>
      <w:bookmarkStart w:id="279" w:name="_Toc3397584"/>
      <w:bookmarkStart w:id="280" w:name="_Toc3483825"/>
      <w:r>
        <w:rPr>
          <w:rFonts w:hint="eastAsia" w:ascii="宋体" w:hAnsi="宋体" w:eastAsia="宋体"/>
        </w:rPr>
        <w:t>归档接口通常包括但不限于</w:t>
      </w:r>
      <w:r>
        <w:rPr>
          <w:rFonts w:ascii="宋体" w:hAnsi="宋体" w:eastAsia="宋体"/>
        </w:rPr>
        <w:t>Webservice</w:t>
      </w:r>
      <w:r>
        <w:rPr>
          <w:rFonts w:hint="eastAsia" w:ascii="宋体" w:hAnsi="宋体" w:eastAsia="宋体"/>
        </w:rPr>
        <w:t>和中间数据库归档接口。</w:t>
      </w:r>
      <w:bookmarkEnd w:id="269"/>
      <w:bookmarkEnd w:id="270"/>
      <w:bookmarkEnd w:id="271"/>
      <w:bookmarkEnd w:id="272"/>
      <w:bookmarkEnd w:id="273"/>
      <w:bookmarkEnd w:id="274"/>
      <w:bookmarkEnd w:id="275"/>
      <w:bookmarkEnd w:id="276"/>
    </w:p>
    <w:p>
      <w:pPr>
        <w:keepNext/>
        <w:keepLines/>
        <w:numPr>
          <w:ilvl w:val="0"/>
          <w:numId w:val="0"/>
        </w:numPr>
        <w:spacing w:before="260" w:after="260" w:line="415" w:lineRule="auto"/>
        <w:ind w:leftChars="0"/>
        <w:outlineLvl w:val="1"/>
        <w:rPr>
          <w:rFonts w:hint="default" w:ascii="等线 Light" w:hAnsi="等线 Light" w:eastAsia="宋体"/>
          <w:b/>
          <w:bCs/>
          <w:szCs w:val="32"/>
          <w:lang w:val="en"/>
        </w:rPr>
      </w:pPr>
      <w:bookmarkStart w:id="281" w:name="_Toc36740363"/>
      <w:bookmarkStart w:id="282" w:name="_Toc37921687"/>
      <w:bookmarkStart w:id="283" w:name="_Toc36729510"/>
      <w:r>
        <w:rPr>
          <w:rFonts w:hint="eastAsia" w:ascii="等线 Light" w:hAnsi="等线 Light" w:eastAsia="宋体"/>
          <w:b/>
          <w:bCs/>
          <w:szCs w:val="32"/>
          <w:lang w:val="en"/>
        </w:rPr>
        <w:t xml:space="preserve">D.1 </w:t>
      </w:r>
      <w:r>
        <w:rPr>
          <w:rFonts w:hint="default" w:ascii="等线 Light" w:hAnsi="等线 Light" w:eastAsia="宋体"/>
          <w:b/>
          <w:bCs/>
          <w:szCs w:val="32"/>
          <w:lang w:val="en"/>
        </w:rPr>
        <w:t>Webservice</w:t>
      </w:r>
      <w:r>
        <w:rPr>
          <w:rFonts w:hint="eastAsia" w:ascii="等线 Light" w:hAnsi="等线 Light" w:eastAsia="宋体"/>
          <w:b/>
          <w:bCs/>
          <w:szCs w:val="32"/>
          <w:lang w:val="en"/>
        </w:rPr>
        <w:t>归档接口方式原理示意见图1</w:t>
      </w:r>
      <w:bookmarkEnd w:id="281"/>
      <w:bookmarkEnd w:id="282"/>
      <w:bookmarkEnd w:id="283"/>
    </w:p>
    <w:p>
      <w:pPr>
        <w:pStyle w:val="64"/>
        <w:ind w:firstLine="0" w:firstLineChars="0"/>
        <w:jc w:val="center"/>
      </w:pPr>
      <w:r>
        <w:object>
          <v:shape id="_x0000_i1026" o:spt="75" type="#_x0000_t75" style="height:174.35pt;width:344.35pt;" o:ole="t" filled="f" o:preferrelative="t" stroked="f" coordsize="21600,21600">
            <v:path/>
            <v:fill on="f" focussize="0,0"/>
            <v:stroke on="f" joinstyle="miter"/>
            <v:imagedata r:id="rId46" o:title=""/>
            <o:lock v:ext="edit" aspectratio="t"/>
            <w10:wrap type="none"/>
            <w10:anchorlock/>
          </v:shape>
          <o:OLEObject Type="Embed" ProgID="Visio.Drawing.11" ShapeID="_x0000_i1026" DrawAspect="Content" ObjectID="_1468075726" r:id="rId45">
            <o:LockedField>false</o:LockedField>
          </o:OLEObject>
        </w:object>
      </w:r>
    </w:p>
    <w:p>
      <w:pPr>
        <w:pStyle w:val="64"/>
        <w:spacing w:line="360" w:lineRule="auto"/>
        <w:ind w:firstLine="0" w:firstLineChars="0"/>
        <w:jc w:val="center"/>
      </w:pPr>
      <w:r>
        <w:rPr>
          <w:rFonts w:hint="eastAsia"/>
        </w:rPr>
        <w:t>图1.</w:t>
      </w:r>
      <w:r>
        <w:t xml:space="preserve"> Webservice</w:t>
      </w:r>
      <w:r>
        <w:rPr>
          <w:rFonts w:hint="eastAsia"/>
        </w:rPr>
        <w:t>归档方式原理示意图</w:t>
      </w:r>
    </w:p>
    <w:p>
      <w:pPr>
        <w:keepNext/>
        <w:keepLines/>
        <w:numPr>
          <w:ilvl w:val="0"/>
          <w:numId w:val="0"/>
        </w:numPr>
        <w:spacing w:before="260" w:after="260" w:line="415" w:lineRule="auto"/>
        <w:ind w:leftChars="0"/>
        <w:outlineLvl w:val="1"/>
        <w:rPr>
          <w:rFonts w:hint="default" w:ascii="等线 Light" w:hAnsi="等线 Light" w:eastAsia="宋体"/>
          <w:b/>
          <w:bCs/>
          <w:szCs w:val="32"/>
          <w:lang w:val="en"/>
        </w:rPr>
      </w:pPr>
      <w:bookmarkStart w:id="284" w:name="_Toc36729511"/>
      <w:bookmarkStart w:id="285" w:name="_Toc37921688"/>
      <w:bookmarkStart w:id="286" w:name="_Toc36740364"/>
      <w:r>
        <w:rPr>
          <w:rFonts w:hint="eastAsia" w:ascii="等线 Light" w:hAnsi="等线 Light" w:eastAsia="宋体"/>
          <w:b/>
          <w:bCs/>
          <w:szCs w:val="32"/>
          <w:lang w:val="en"/>
        </w:rPr>
        <w:t>D.2中间数据库归档接口方式原理示意见图2</w:t>
      </w:r>
      <w:bookmarkEnd w:id="284"/>
      <w:bookmarkEnd w:id="285"/>
      <w:bookmarkEnd w:id="286"/>
    </w:p>
    <w:p>
      <w:pPr>
        <w:pStyle w:val="64"/>
        <w:ind w:firstLine="0" w:firstLineChars="0"/>
        <w:jc w:val="center"/>
      </w:pPr>
      <w:r>
        <w:object>
          <v:shape id="_x0000_i1027" o:spt="75" type="#_x0000_t75" style="height:174.35pt;width:389.75pt;" o:ole="t" filled="f" o:preferrelative="t" stroked="f" coordsize="21600,21600">
            <v:path/>
            <v:fill on="f" focussize="0,0"/>
            <v:stroke on="f" joinstyle="miter"/>
            <v:imagedata r:id="rId48" o:title=""/>
            <o:lock v:ext="edit" aspectratio="t"/>
            <w10:wrap type="none"/>
            <w10:anchorlock/>
          </v:shape>
          <o:OLEObject Type="Embed" ProgID="Visio.Drawing.11" ShapeID="_x0000_i1027" DrawAspect="Content" ObjectID="_1468075727" r:id="rId47">
            <o:LockedField>false</o:LockedField>
          </o:OLEObject>
        </w:object>
      </w:r>
    </w:p>
    <w:p>
      <w:pPr>
        <w:pStyle w:val="64"/>
        <w:spacing w:line="360" w:lineRule="auto"/>
        <w:ind w:firstLine="0" w:firstLineChars="0"/>
        <w:jc w:val="center"/>
      </w:pPr>
      <w:r>
        <w:rPr>
          <w:rFonts w:hint="eastAsia"/>
        </w:rPr>
        <w:t>图2.</w:t>
      </w:r>
      <w:r>
        <w:t xml:space="preserve"> </w:t>
      </w:r>
      <w:r>
        <w:rPr>
          <w:rFonts w:hint="eastAsia"/>
        </w:rPr>
        <w:t>中间库归档方式原理示意图</w:t>
      </w:r>
    </w:p>
    <w:bookmarkEnd w:id="277"/>
    <w:bookmarkEnd w:id="278"/>
    <w:bookmarkEnd w:id="279"/>
    <w:bookmarkEnd w:id="280"/>
    <w:p>
      <w:pPr>
        <w:keepNext/>
        <w:keepLines/>
        <w:numPr>
          <w:ilvl w:val="0"/>
          <w:numId w:val="0"/>
        </w:numPr>
        <w:spacing w:before="260" w:after="260" w:line="415" w:lineRule="auto"/>
        <w:ind w:leftChars="0"/>
        <w:outlineLvl w:val="1"/>
        <w:rPr>
          <w:rFonts w:hint="default" w:ascii="等线 Light" w:hAnsi="等线 Light" w:eastAsia="宋体"/>
          <w:b/>
          <w:bCs/>
          <w:szCs w:val="32"/>
          <w:lang w:val="en"/>
        </w:rPr>
      </w:pPr>
      <w:bookmarkStart w:id="287" w:name="_Toc34067139"/>
      <w:bookmarkStart w:id="288" w:name="_Toc3397595"/>
      <w:bookmarkStart w:id="289" w:name="_Toc3483834"/>
      <w:bookmarkStart w:id="290" w:name="_Toc33460558"/>
      <w:r>
        <w:rPr>
          <w:rFonts w:hint="eastAsia" w:ascii="等线 Light" w:hAnsi="等线 Light" w:eastAsia="宋体"/>
          <w:b/>
          <w:bCs/>
          <w:szCs w:val="32"/>
          <w:lang w:val="en"/>
        </w:rPr>
        <w:t>D.3会计核算系统的归档接口功能</w:t>
      </w:r>
    </w:p>
    <w:bookmarkEnd w:id="287"/>
    <w:bookmarkEnd w:id="288"/>
    <w:bookmarkEnd w:id="289"/>
    <w:bookmarkEnd w:id="290"/>
    <w:p>
      <w:pPr>
        <w:pStyle w:val="72"/>
        <w:numPr>
          <w:ilvl w:val="0"/>
          <w:numId w:val="5"/>
        </w:numPr>
        <w:tabs>
          <w:tab w:val="left" w:pos="839"/>
          <w:tab w:val="clear" w:pos="0"/>
        </w:tabs>
        <w:spacing w:line="360" w:lineRule="auto"/>
        <w:ind w:left="840" w:leftChars="200" w:hanging="420" w:hangingChars="200"/>
      </w:pPr>
      <w:r>
        <w:rPr>
          <w:rFonts w:hint="eastAsia"/>
        </w:rPr>
        <w:t>归档前将待归档电子会计资料及其元数据以件为单位按推荐格式封装成归档信息包；</w:t>
      </w:r>
    </w:p>
    <w:p>
      <w:pPr>
        <w:pStyle w:val="72"/>
        <w:numPr>
          <w:ilvl w:val="0"/>
          <w:numId w:val="5"/>
        </w:numPr>
        <w:tabs>
          <w:tab w:val="left" w:pos="839"/>
          <w:tab w:val="clear" w:pos="0"/>
        </w:tabs>
        <w:spacing w:line="360" w:lineRule="auto"/>
        <w:ind w:left="840" w:leftChars="200" w:hanging="420" w:hangingChars="200"/>
      </w:pPr>
      <w:r>
        <w:rPr>
          <w:rFonts w:hint="eastAsia"/>
        </w:rPr>
        <w:t>将封装好的归档信息包传输至指定位置，传输过程中归档信息包信息不丢失、不被非法更改；</w:t>
      </w:r>
    </w:p>
    <w:p>
      <w:pPr>
        <w:pStyle w:val="72"/>
        <w:numPr>
          <w:ilvl w:val="0"/>
          <w:numId w:val="5"/>
        </w:numPr>
        <w:tabs>
          <w:tab w:val="left" w:pos="839"/>
          <w:tab w:val="clear" w:pos="0"/>
        </w:tabs>
        <w:spacing w:line="360" w:lineRule="auto"/>
        <w:ind w:left="840" w:leftChars="200" w:hanging="420" w:hangingChars="200"/>
      </w:pPr>
      <w:r>
        <w:rPr>
          <w:rFonts w:hint="eastAsia"/>
        </w:rPr>
        <w:t>接收归档信息包接收方的反馈消息，包括归档成功消息与失败消息，以及失败故障代码；</w:t>
      </w:r>
    </w:p>
    <w:p>
      <w:pPr>
        <w:pStyle w:val="72"/>
        <w:numPr>
          <w:ilvl w:val="0"/>
          <w:numId w:val="5"/>
        </w:numPr>
        <w:tabs>
          <w:tab w:val="left" w:pos="839"/>
          <w:tab w:val="clear" w:pos="0"/>
        </w:tabs>
        <w:spacing w:line="360" w:lineRule="auto"/>
        <w:ind w:left="840" w:leftChars="200" w:hanging="420" w:hangingChars="200"/>
      </w:pPr>
      <w:r>
        <w:rPr>
          <w:rFonts w:hint="eastAsia"/>
        </w:rPr>
        <w:t>对归档成功的电子会计资料进行已归档标记，以防止重复归档，并能取消标记，在人工干预下重新归档；</w:t>
      </w:r>
    </w:p>
    <w:p>
      <w:pPr>
        <w:pStyle w:val="72"/>
        <w:numPr>
          <w:ilvl w:val="0"/>
          <w:numId w:val="5"/>
        </w:numPr>
        <w:tabs>
          <w:tab w:val="left" w:pos="839"/>
          <w:tab w:val="clear" w:pos="0"/>
        </w:tabs>
        <w:spacing w:line="360" w:lineRule="auto"/>
        <w:ind w:left="840" w:leftChars="200" w:hanging="420" w:hangingChars="200"/>
      </w:pPr>
      <w:r>
        <w:rPr>
          <w:rFonts w:hint="eastAsia"/>
        </w:rPr>
        <w:t>应具有归档控制功能模块，记录归档电子会计资料类型、归档时间、归档状态，并能够实现按照归档电子会计资料类型、归档时间、归档状态组合查询；</w:t>
      </w:r>
    </w:p>
    <w:p>
      <w:pPr>
        <w:keepNext/>
        <w:keepLines/>
        <w:numPr>
          <w:ilvl w:val="0"/>
          <w:numId w:val="0"/>
        </w:numPr>
        <w:spacing w:before="260" w:after="260" w:line="415" w:lineRule="auto"/>
        <w:ind w:leftChars="0"/>
        <w:outlineLvl w:val="1"/>
        <w:rPr>
          <w:rFonts w:hint="default" w:ascii="等线 Light" w:hAnsi="等线 Light" w:eastAsia="宋体"/>
          <w:b/>
          <w:bCs/>
          <w:szCs w:val="32"/>
          <w:lang w:val="en"/>
        </w:rPr>
      </w:pPr>
      <w:r>
        <w:rPr>
          <w:rFonts w:hint="eastAsia" w:ascii="等线 Light" w:hAnsi="等线 Light" w:eastAsia="宋体"/>
          <w:b/>
          <w:bCs/>
          <w:szCs w:val="32"/>
          <w:lang w:val="en"/>
        </w:rPr>
        <w:t>D.4电子会计档案管理系统接口功能</w:t>
      </w:r>
    </w:p>
    <w:p>
      <w:pPr>
        <w:pStyle w:val="72"/>
        <w:numPr>
          <w:ilvl w:val="0"/>
          <w:numId w:val="6"/>
        </w:numPr>
        <w:tabs>
          <w:tab w:val="left" w:pos="839"/>
          <w:tab w:val="clear" w:pos="0"/>
        </w:tabs>
        <w:spacing w:line="360" w:lineRule="auto"/>
        <w:ind w:left="840" w:leftChars="200" w:hanging="420" w:hangingChars="200"/>
      </w:pPr>
      <w:r>
        <w:rPr>
          <w:rFonts w:hint="eastAsia"/>
        </w:rPr>
        <w:t>向会计核算系统发送归档信息包存储位置信息；</w:t>
      </w:r>
    </w:p>
    <w:p>
      <w:pPr>
        <w:pStyle w:val="72"/>
        <w:numPr>
          <w:ilvl w:val="0"/>
          <w:numId w:val="6"/>
        </w:numPr>
        <w:tabs>
          <w:tab w:val="left" w:pos="839"/>
        </w:tabs>
        <w:spacing w:line="360" w:lineRule="auto"/>
      </w:pPr>
      <w:r>
        <w:rPr>
          <w:rFonts w:hint="eastAsia"/>
        </w:rPr>
        <w:t>接收业务系统传递来的数据包，并正确解析；</w:t>
      </w:r>
    </w:p>
    <w:p>
      <w:pPr>
        <w:pStyle w:val="72"/>
        <w:numPr>
          <w:ilvl w:val="0"/>
          <w:numId w:val="6"/>
        </w:numPr>
        <w:tabs>
          <w:tab w:val="left" w:pos="839"/>
          <w:tab w:val="clear" w:pos="0"/>
        </w:tabs>
        <w:spacing w:line="360" w:lineRule="auto"/>
        <w:ind w:left="840" w:leftChars="200" w:hanging="420" w:hangingChars="200"/>
      </w:pPr>
      <w:r>
        <w:rPr>
          <w:rFonts w:hint="eastAsia"/>
        </w:rPr>
        <w:t>对会计核算系统提交归档的电子会计资料及其元数据的真实性、可靠性、完整性、可用性进行检测，检测不合格不能接收；</w:t>
      </w:r>
    </w:p>
    <w:p>
      <w:pPr>
        <w:pStyle w:val="72"/>
        <w:numPr>
          <w:ilvl w:val="0"/>
          <w:numId w:val="6"/>
        </w:numPr>
        <w:tabs>
          <w:tab w:val="left" w:pos="839"/>
        </w:tabs>
        <w:spacing w:line="360" w:lineRule="auto"/>
      </w:pPr>
      <w:r>
        <w:rPr>
          <w:rFonts w:hint="eastAsia"/>
        </w:rPr>
        <w:t>将解析后的电子会计资料及其元数据存储在指定位置；</w:t>
      </w:r>
    </w:p>
    <w:p>
      <w:pPr>
        <w:pStyle w:val="72"/>
        <w:numPr>
          <w:ilvl w:val="0"/>
          <w:numId w:val="6"/>
        </w:numPr>
        <w:tabs>
          <w:tab w:val="left" w:pos="839"/>
        </w:tabs>
        <w:spacing w:line="360" w:lineRule="auto"/>
      </w:pPr>
      <w:r>
        <w:rPr>
          <w:rFonts w:hint="eastAsia"/>
        </w:rPr>
        <w:t>向会计核算系统发送电子会计资料归档成功或失败消息</w:t>
      </w:r>
      <w:r>
        <w:rPr>
          <w:rFonts w:hint="eastAsia"/>
          <w:lang w:eastAsia="zh-CN"/>
        </w:rPr>
        <w:t>，</w:t>
      </w:r>
      <w:r>
        <w:rPr>
          <w:rFonts w:hint="eastAsia"/>
        </w:rPr>
        <w:t>以及故障代码；</w:t>
      </w:r>
    </w:p>
    <w:p>
      <w:pPr>
        <w:pStyle w:val="72"/>
        <w:numPr>
          <w:ilvl w:val="0"/>
          <w:numId w:val="6"/>
        </w:numPr>
        <w:tabs>
          <w:tab w:val="left" w:pos="839"/>
        </w:tabs>
        <w:spacing w:line="360" w:lineRule="auto"/>
      </w:pPr>
      <w:r>
        <w:rPr>
          <w:rFonts w:hint="eastAsia"/>
        </w:rPr>
        <w:t>在归档信息包接收、解析和数据存储等过程中，信息不丢失、不被非法更改；</w:t>
      </w:r>
    </w:p>
    <w:p>
      <w:pPr>
        <w:pStyle w:val="72"/>
        <w:numPr>
          <w:ilvl w:val="0"/>
          <w:numId w:val="6"/>
        </w:numPr>
        <w:tabs>
          <w:tab w:val="left" w:pos="839"/>
          <w:tab w:val="clear" w:pos="0"/>
        </w:tabs>
        <w:spacing w:line="360" w:lineRule="auto"/>
        <w:ind w:left="840" w:leftChars="200" w:hanging="420" w:hangingChars="200"/>
      </w:pPr>
      <w:r>
        <w:rPr>
          <w:rFonts w:hint="eastAsia"/>
        </w:rPr>
        <w:t>应具有接收控制功能模块，记录归档电子会计资料类型、归档时间、归档状态，并能够实现按照归档电子会计资料类型、归档时间、归档状态组合查询；</w:t>
      </w:r>
    </w:p>
    <w:p>
      <w:pPr>
        <w:keepNext/>
        <w:keepLines/>
        <w:numPr>
          <w:ilvl w:val="0"/>
          <w:numId w:val="0"/>
        </w:numPr>
        <w:spacing w:before="260" w:after="260" w:line="415" w:lineRule="auto"/>
        <w:ind w:leftChars="0"/>
        <w:outlineLvl w:val="1"/>
        <w:rPr>
          <w:rFonts w:hint="default" w:ascii="等线 Light" w:hAnsi="等线 Light" w:eastAsia="宋体"/>
          <w:b/>
          <w:bCs/>
          <w:szCs w:val="32"/>
          <w:lang w:val="en"/>
        </w:rPr>
      </w:pPr>
      <w:bookmarkStart w:id="291" w:name="_Toc34297120"/>
      <w:bookmarkStart w:id="292" w:name="_Toc38358611"/>
      <w:bookmarkStart w:id="293" w:name="_Toc36729520"/>
      <w:bookmarkStart w:id="294" w:name="_Toc37921697"/>
      <w:bookmarkStart w:id="295" w:name="_Toc36740373"/>
      <w:bookmarkStart w:id="296" w:name="_Toc38226877"/>
      <w:bookmarkStart w:id="297" w:name="_Toc34067138"/>
      <w:bookmarkStart w:id="298" w:name="_Toc3397594"/>
      <w:bookmarkStart w:id="299" w:name="_Toc3483833"/>
      <w:bookmarkStart w:id="300" w:name="_Toc33460557"/>
      <w:r>
        <w:rPr>
          <w:rFonts w:hint="eastAsia" w:ascii="等线 Light" w:hAnsi="等线 Light" w:eastAsia="宋体"/>
          <w:b/>
          <w:bCs/>
          <w:szCs w:val="32"/>
          <w:lang w:val="en"/>
        </w:rPr>
        <w:t>D.5归档接口建设管理要求</w:t>
      </w:r>
      <w:bookmarkEnd w:id="291"/>
      <w:bookmarkEnd w:id="292"/>
      <w:bookmarkEnd w:id="293"/>
      <w:bookmarkEnd w:id="294"/>
      <w:bookmarkEnd w:id="295"/>
      <w:bookmarkEnd w:id="296"/>
    </w:p>
    <w:p>
      <w:pPr>
        <w:pStyle w:val="72"/>
        <w:numPr>
          <w:ilvl w:val="0"/>
          <w:numId w:val="2"/>
        </w:numPr>
        <w:tabs>
          <w:tab w:val="left" w:pos="839"/>
          <w:tab w:val="clear" w:pos="0"/>
        </w:tabs>
        <w:spacing w:line="360" w:lineRule="auto"/>
        <w:ind w:left="840" w:leftChars="200" w:hanging="420" w:hangingChars="200"/>
      </w:pPr>
      <w:r>
        <w:rPr>
          <w:rFonts w:hint="eastAsia"/>
        </w:rPr>
        <w:t>归档接口应与业务系统同设计、同开发、同测试和同实施，实施时未开发归档接口的业务系统应及时通过二次开发实现</w:t>
      </w:r>
      <w:bookmarkEnd w:id="297"/>
      <w:bookmarkEnd w:id="298"/>
      <w:bookmarkEnd w:id="299"/>
      <w:bookmarkEnd w:id="300"/>
      <w:r>
        <w:rPr>
          <w:rFonts w:hint="eastAsia"/>
        </w:rPr>
        <w:t>；</w:t>
      </w:r>
    </w:p>
    <w:p>
      <w:pPr>
        <w:pStyle w:val="72"/>
        <w:numPr>
          <w:ilvl w:val="0"/>
          <w:numId w:val="2"/>
        </w:numPr>
        <w:tabs>
          <w:tab w:val="left" w:pos="839"/>
          <w:tab w:val="clear" w:pos="0"/>
        </w:tabs>
        <w:spacing w:line="360" w:lineRule="auto"/>
        <w:ind w:left="840" w:leftChars="200" w:hanging="420" w:hangingChars="200"/>
      </w:pPr>
      <w:r>
        <w:rPr>
          <w:rFonts w:hint="eastAsia"/>
        </w:rPr>
        <w:t>为保证电子会计资料真实性、完整性、可靠性、可用性，应将检测功能嵌入归档接口，减少人工干预；</w:t>
      </w:r>
    </w:p>
    <w:p>
      <w:pPr>
        <w:pStyle w:val="72"/>
        <w:numPr>
          <w:ilvl w:val="0"/>
          <w:numId w:val="2"/>
        </w:numPr>
        <w:tabs>
          <w:tab w:val="left" w:pos="839"/>
          <w:tab w:val="clear" w:pos="0"/>
        </w:tabs>
        <w:spacing w:line="360" w:lineRule="auto"/>
        <w:ind w:left="840" w:leftChars="200" w:hanging="420" w:hangingChars="200"/>
      </w:pPr>
      <w:r>
        <w:rPr>
          <w:rFonts w:hint="eastAsia"/>
        </w:rPr>
        <w:t>归档接口开发时应进行充分测试，并经专家评审，以确认功能要求达到设计目标要求；</w:t>
      </w:r>
    </w:p>
    <w:p>
      <w:pPr>
        <w:pStyle w:val="72"/>
        <w:numPr>
          <w:ilvl w:val="0"/>
          <w:numId w:val="2"/>
        </w:numPr>
        <w:tabs>
          <w:tab w:val="left" w:pos="839"/>
          <w:tab w:val="clear" w:pos="0"/>
        </w:tabs>
        <w:spacing w:line="360" w:lineRule="auto"/>
        <w:ind w:left="840" w:leftChars="200" w:hanging="420" w:hangingChars="200"/>
      </w:pPr>
      <w:r>
        <w:rPr>
          <w:rFonts w:hint="eastAsia"/>
        </w:rPr>
        <w:t>归档接口投入运行后，应安排专人对接口运行情况进行持续跟踪，发现问题及时处置；</w:t>
      </w:r>
    </w:p>
    <w:p>
      <w:pPr>
        <w:pStyle w:val="72"/>
        <w:numPr>
          <w:ilvl w:val="0"/>
          <w:numId w:val="2"/>
        </w:numPr>
        <w:tabs>
          <w:tab w:val="left" w:pos="839"/>
          <w:tab w:val="clear" w:pos="0"/>
        </w:tabs>
        <w:spacing w:line="360" w:lineRule="auto"/>
        <w:ind w:left="840" w:leftChars="200" w:hanging="420" w:hangingChars="200"/>
      </w:pPr>
      <w:r>
        <w:rPr>
          <w:rFonts w:hint="eastAsia"/>
        </w:rPr>
        <w:t>对于现存会计核算系统，企业应联系业务系统原开发商或组织自有力量进行开发；</w:t>
      </w:r>
    </w:p>
    <w:p>
      <w:pPr>
        <w:pStyle w:val="72"/>
        <w:numPr>
          <w:ilvl w:val="0"/>
          <w:numId w:val="2"/>
        </w:numPr>
        <w:tabs>
          <w:tab w:val="left" w:pos="839"/>
          <w:tab w:val="clear" w:pos="0"/>
        </w:tabs>
        <w:spacing w:line="360" w:lineRule="auto"/>
        <w:ind w:left="840" w:leftChars="200" w:hanging="420" w:hangingChars="200"/>
      </w:pPr>
      <w:r>
        <w:rPr>
          <w:rFonts w:hint="eastAsia"/>
        </w:rPr>
        <w:t>对于新开发会计核算系统，应在系统设计开发初期，将档案部门纳入实施团队，提出会计核算系统电子会计资料归档功能要求，并对归档功能进行测试确认；</w:t>
      </w:r>
    </w:p>
    <w:p>
      <w:pPr>
        <w:pStyle w:val="72"/>
        <w:numPr>
          <w:ilvl w:val="0"/>
          <w:numId w:val="2"/>
        </w:numPr>
        <w:tabs>
          <w:tab w:val="left" w:pos="839"/>
          <w:tab w:val="clear" w:pos="0"/>
        </w:tabs>
        <w:spacing w:line="360" w:lineRule="auto"/>
        <w:ind w:left="840" w:leftChars="200" w:hanging="420" w:hangingChars="200"/>
      </w:pPr>
      <w:r>
        <w:rPr>
          <w:rFonts w:hint="eastAsia"/>
        </w:rPr>
        <w:t>会计核算系统和电子</w:t>
      </w:r>
      <w:r>
        <w:rPr>
          <w:rFonts w:hint="eastAsia"/>
          <w:lang w:eastAsia="zh-CN"/>
        </w:rPr>
        <w:t>会计</w:t>
      </w:r>
      <w:r>
        <w:rPr>
          <w:rFonts w:hint="eastAsia"/>
        </w:rPr>
        <w:t>档案管理系统更新应充分论证对归档接口功能的影响，确保归档接口能够正常运行；</w:t>
      </w:r>
    </w:p>
    <w:p>
      <w:pPr>
        <w:pStyle w:val="72"/>
        <w:numPr>
          <w:ilvl w:val="0"/>
          <w:numId w:val="2"/>
        </w:numPr>
        <w:tabs>
          <w:tab w:val="left" w:pos="839"/>
          <w:tab w:val="clear" w:pos="0"/>
        </w:tabs>
        <w:spacing w:line="360" w:lineRule="auto"/>
        <w:ind w:left="840" w:leftChars="200" w:hanging="420" w:hangingChars="200"/>
      </w:pPr>
      <w:r>
        <w:rPr>
          <w:rFonts w:hint="eastAsia"/>
        </w:rPr>
        <w:t>应制定应急机制，在会计核算系统和电子</w:t>
      </w:r>
      <w:r>
        <w:rPr>
          <w:rFonts w:hint="eastAsia"/>
          <w:lang w:eastAsia="zh-CN"/>
        </w:rPr>
        <w:t>会计</w:t>
      </w:r>
      <w:r>
        <w:rPr>
          <w:rFonts w:hint="eastAsia"/>
        </w:rPr>
        <w:t>档案</w:t>
      </w:r>
      <w:r>
        <w:rPr>
          <w:rFonts w:hint="eastAsia"/>
          <w:lang w:eastAsia="zh-CN"/>
        </w:rPr>
        <w:t>管理</w:t>
      </w:r>
      <w:r>
        <w:rPr>
          <w:rFonts w:hint="eastAsia"/>
        </w:rPr>
        <w:t>系统因升级、系统故障、病毒感染等原因影响集成接口功能后立即启动应急响应。</w:t>
      </w:r>
    </w:p>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ind w:firstLine="426"/>
        <w:rPr>
          <w:rFonts w:hint="default"/>
          <w:color w:val="auto"/>
          <w:szCs w:val="21"/>
          <w:highlight w:val="none"/>
          <w:lang w:val="en-US" w:eastAsia="zh-CN"/>
        </w:rPr>
      </w:pPr>
    </w:p>
    <w:p>
      <w:pPr>
        <w:wordWrap w:val="0"/>
        <w:rPr>
          <w:rFonts w:hint="default"/>
          <w:color w:val="auto"/>
          <w:szCs w:val="21"/>
          <w:highlight w:val="none"/>
          <w:lang w:val="en-US" w:eastAsia="zh-CN"/>
        </w:rPr>
      </w:pPr>
    </w:p>
    <w:p>
      <w:pPr>
        <w:pStyle w:val="58"/>
        <w:wordWrap w:val="0"/>
        <w:spacing w:before="640" w:beforeLines="0" w:after="200" w:afterLines="0"/>
        <w:jc w:val="center"/>
        <w:outlineLvl w:val="0"/>
        <w:rPr>
          <w:rFonts w:hAnsi="黑体"/>
          <w:lang w:val="de-DE"/>
        </w:rPr>
      </w:pPr>
      <w:r>
        <w:rPr>
          <w:rFonts w:hint="eastAsia" w:hAnsi="黑体"/>
          <w:lang w:val="de-DE"/>
        </w:rPr>
        <w:t>附 录 E</w:t>
      </w:r>
      <w:r>
        <w:rPr>
          <w:rFonts w:hAnsi="黑体"/>
          <w:lang w:val="de-DE"/>
        </w:rPr>
        <w:br w:type="textWrapping" w:clear="all"/>
      </w:r>
      <w:r>
        <w:rPr>
          <w:rFonts w:hint="eastAsia" w:hAnsi="黑体"/>
          <w:lang w:val="de-DE"/>
        </w:rPr>
        <w:t>（规范性附录）</w:t>
      </w:r>
      <w:r>
        <w:rPr>
          <w:rFonts w:hAnsi="黑体"/>
          <w:lang w:val="de-DE"/>
        </w:rPr>
        <w:br w:type="textWrapping" w:clear="all"/>
      </w:r>
      <w:r>
        <w:rPr>
          <w:rFonts w:hint="eastAsia" w:hAnsi="黑体"/>
          <w:lang w:val="de-DE"/>
        </w:rPr>
        <w:t>电子会计档案管理系统功能要求</w:t>
      </w:r>
    </w:p>
    <w:p>
      <w:pPr>
        <w:widowControl/>
        <w:ind w:firstLine="420"/>
        <w:jc w:val="left"/>
      </w:pPr>
    </w:p>
    <w:p>
      <w:pPr>
        <w:widowControl/>
        <w:ind w:firstLine="420"/>
        <w:jc w:val="left"/>
      </w:pPr>
      <w:r>
        <w:rPr>
          <w:rFonts w:hint="eastAsia"/>
        </w:rPr>
        <w:t>本规范根据电子会计档案管理的实际业务要求，从电子会计资料的收集、整理、归档移交及电子会计档案保管、利用、处置等方面规定了电子会计档案管理系统的功能要求。</w:t>
      </w:r>
    </w:p>
    <w:p>
      <w:pPr>
        <w:keepNext/>
        <w:keepLines/>
        <w:numPr>
          <w:ilvl w:val="0"/>
          <w:numId w:val="0"/>
        </w:numPr>
        <w:spacing w:before="260" w:after="260" w:line="415" w:lineRule="auto"/>
        <w:ind w:leftChars="0"/>
        <w:outlineLvl w:val="1"/>
        <w:rPr>
          <w:rFonts w:ascii="等线 Light" w:hAnsi="等线 Light"/>
          <w:b/>
          <w:bCs/>
          <w:szCs w:val="32"/>
        </w:rPr>
      </w:pPr>
      <w:bookmarkStart w:id="301" w:name="_Toc37676467"/>
      <w:bookmarkEnd w:id="301"/>
      <w:bookmarkStart w:id="302" w:name="_Toc37676472"/>
      <w:r>
        <w:rPr>
          <w:rFonts w:hint="default" w:ascii="等线 Light" w:hAnsi="等线 Light"/>
          <w:b/>
          <w:bCs/>
          <w:szCs w:val="32"/>
          <w:lang w:val="en"/>
        </w:rPr>
        <w:t>E.1</w:t>
      </w:r>
      <w:r>
        <w:rPr>
          <w:rFonts w:ascii="等线 Light" w:hAnsi="等线 Light"/>
          <w:b/>
          <w:bCs/>
          <w:szCs w:val="32"/>
        </w:rPr>
        <w:t>收集功能</w:t>
      </w:r>
      <w:bookmarkEnd w:id="302"/>
    </w:p>
    <w:p>
      <w:pPr>
        <w:pStyle w:val="70"/>
        <w:keepNext/>
        <w:keepLines/>
        <w:numPr>
          <w:ilvl w:val="0"/>
          <w:numId w:val="7"/>
        </w:numPr>
        <w:spacing w:before="260" w:after="260" w:line="415" w:lineRule="auto"/>
        <w:ind w:firstLineChars="0"/>
        <w:outlineLvl w:val="2"/>
        <w:rPr>
          <w:rFonts w:hint="eastAsia" w:ascii="等线" w:hAnsi="等线"/>
          <w:b/>
          <w:bCs/>
          <w:vanish/>
          <w:szCs w:val="32"/>
        </w:rPr>
      </w:pPr>
      <w:bookmarkStart w:id="303" w:name="_Toc37676473"/>
      <w:bookmarkEnd w:id="303"/>
      <w:bookmarkStart w:id="304" w:name="_Toc37676479"/>
    </w:p>
    <w:p>
      <w:pPr>
        <w:keepNext/>
        <w:keepLines/>
        <w:numPr>
          <w:ilvl w:val="0"/>
          <w:numId w:val="0"/>
        </w:numPr>
        <w:spacing w:before="260" w:after="260" w:line="415" w:lineRule="auto"/>
        <w:ind w:leftChars="0"/>
        <w:outlineLvl w:val="2"/>
        <w:rPr>
          <w:rFonts w:ascii="等线" w:hAnsi="等线"/>
          <w:b/>
          <w:bCs/>
          <w:szCs w:val="32"/>
        </w:rPr>
      </w:pPr>
      <w:r>
        <w:rPr>
          <w:rFonts w:hint="default" w:ascii="等线" w:hAnsi="等线"/>
          <w:b/>
          <w:bCs/>
          <w:szCs w:val="32"/>
          <w:lang w:val="en"/>
        </w:rPr>
        <w:t>E.1.1</w:t>
      </w:r>
      <w:r>
        <w:rPr>
          <w:rFonts w:hint="eastAsia" w:ascii="等线" w:hAnsi="等线"/>
          <w:b/>
          <w:bCs/>
          <w:szCs w:val="32"/>
        </w:rPr>
        <w:t>电子会计资料手工登记</w:t>
      </w:r>
      <w:bookmarkEnd w:id="304"/>
    </w:p>
    <w:p>
      <w:pPr>
        <w:numPr>
          <w:ilvl w:val="0"/>
          <w:numId w:val="8"/>
        </w:numPr>
        <w:rPr>
          <w:rFonts w:ascii="等线" w:hAnsi="等线"/>
          <w:szCs w:val="22"/>
        </w:rPr>
      </w:pPr>
      <w:r>
        <w:rPr>
          <w:rFonts w:hint="eastAsia" w:ascii="等线" w:hAnsi="等线"/>
          <w:szCs w:val="22"/>
        </w:rPr>
        <w:t>应支持手工输入电子会计资料元数据及上传电子会计资料并赋予唯一编号；</w:t>
      </w:r>
    </w:p>
    <w:p>
      <w:pPr>
        <w:numPr>
          <w:ilvl w:val="0"/>
          <w:numId w:val="8"/>
        </w:numPr>
        <w:rPr>
          <w:rFonts w:ascii="等线" w:hAnsi="等线"/>
          <w:szCs w:val="22"/>
        </w:rPr>
      </w:pPr>
      <w:r>
        <w:rPr>
          <w:rFonts w:hint="eastAsia" w:ascii="等线" w:hAnsi="等线"/>
          <w:szCs w:val="22"/>
        </w:rPr>
        <w:t>应支持所输入的元数据项在满足国家有关标准的前提下，可根据需要增减；</w:t>
      </w:r>
    </w:p>
    <w:p>
      <w:pPr>
        <w:numPr>
          <w:ilvl w:val="0"/>
          <w:numId w:val="8"/>
        </w:numPr>
        <w:rPr>
          <w:rFonts w:ascii="等线" w:hAnsi="等线"/>
          <w:szCs w:val="22"/>
        </w:rPr>
      </w:pPr>
      <w:r>
        <w:rPr>
          <w:rFonts w:hint="eastAsia" w:ascii="等线" w:hAnsi="等线"/>
          <w:szCs w:val="22"/>
        </w:rPr>
        <w:t>应支持元数据校验功能，可对元数据根据权限进行更改、删除、检索等操作。</w:t>
      </w:r>
    </w:p>
    <w:p>
      <w:pPr>
        <w:keepNext/>
        <w:keepLines/>
        <w:numPr>
          <w:ilvl w:val="0"/>
          <w:numId w:val="0"/>
        </w:numPr>
        <w:spacing w:before="260" w:after="260" w:line="415" w:lineRule="auto"/>
        <w:ind w:leftChars="0"/>
        <w:outlineLvl w:val="2"/>
        <w:rPr>
          <w:rFonts w:ascii="等线" w:hAnsi="等线"/>
          <w:b/>
          <w:bCs/>
          <w:szCs w:val="32"/>
        </w:rPr>
      </w:pPr>
      <w:bookmarkStart w:id="305" w:name="_Toc37676480"/>
      <w:r>
        <w:rPr>
          <w:rFonts w:hint="default" w:ascii="等线" w:hAnsi="等线"/>
          <w:b/>
          <w:bCs/>
          <w:szCs w:val="32"/>
          <w:lang w:val="en"/>
        </w:rPr>
        <w:t>E.1.2</w:t>
      </w:r>
      <w:r>
        <w:rPr>
          <w:rFonts w:hint="eastAsia" w:ascii="等线" w:hAnsi="等线"/>
          <w:b/>
          <w:bCs/>
          <w:szCs w:val="32"/>
        </w:rPr>
        <w:t>在线接收</w:t>
      </w:r>
      <w:bookmarkEnd w:id="305"/>
    </w:p>
    <w:p>
      <w:pPr>
        <w:numPr>
          <w:ilvl w:val="0"/>
          <w:numId w:val="9"/>
        </w:numPr>
        <w:rPr>
          <w:rFonts w:ascii="等线" w:hAnsi="等线"/>
          <w:szCs w:val="22"/>
        </w:rPr>
      </w:pPr>
      <w:r>
        <w:rPr>
          <w:rFonts w:hint="eastAsia" w:ascii="等线" w:hAnsi="等线"/>
          <w:szCs w:val="22"/>
        </w:rPr>
        <w:t xml:space="preserve">应支持与业务系统的集成，能够从报销系统、核算系统、报表系统、税务系统等会计业务系统接收电子会计资料及其元数据，并对所接收的电子会计资料赋予唯一编号； </w:t>
      </w:r>
    </w:p>
    <w:p>
      <w:pPr>
        <w:numPr>
          <w:ilvl w:val="0"/>
          <w:numId w:val="9"/>
        </w:numPr>
        <w:rPr>
          <w:rFonts w:ascii="等线" w:hAnsi="等线"/>
          <w:szCs w:val="22"/>
        </w:rPr>
      </w:pPr>
      <w:r>
        <w:rPr>
          <w:rFonts w:hint="eastAsia" w:ascii="等线" w:hAnsi="等线"/>
          <w:szCs w:val="22"/>
        </w:rPr>
        <w:t>应支持接收立档单位移交的、符合国家档案局、财政部相关标准规定的电子会计资料，包括但不限于：</w:t>
      </w:r>
    </w:p>
    <w:p>
      <w:pPr>
        <w:ind w:left="425"/>
        <w:rPr>
          <w:rFonts w:ascii="等线" w:hAnsi="等线"/>
          <w:szCs w:val="22"/>
        </w:rPr>
      </w:pPr>
      <w:r>
        <w:rPr>
          <w:rFonts w:hint="eastAsia" w:ascii="等线" w:hAnsi="等线"/>
          <w:szCs w:val="22"/>
        </w:rPr>
        <w:t>——文本文件；</w:t>
      </w:r>
    </w:p>
    <w:p>
      <w:pPr>
        <w:ind w:left="425"/>
        <w:rPr>
          <w:rFonts w:hint="eastAsia" w:ascii="等线" w:hAnsi="等线"/>
          <w:szCs w:val="22"/>
        </w:rPr>
      </w:pPr>
      <w:r>
        <w:rPr>
          <w:rFonts w:hint="eastAsia" w:ascii="等线" w:hAnsi="等线"/>
          <w:szCs w:val="22"/>
        </w:rPr>
        <w:t>——版式文件；</w:t>
      </w:r>
    </w:p>
    <w:p>
      <w:pPr>
        <w:ind w:left="425"/>
        <w:rPr>
          <w:rFonts w:hint="eastAsia" w:ascii="等线" w:hAnsi="等线"/>
          <w:szCs w:val="22"/>
        </w:rPr>
      </w:pPr>
      <w:r>
        <w:rPr>
          <w:rFonts w:hint="eastAsia" w:ascii="等线" w:hAnsi="等线"/>
          <w:szCs w:val="22"/>
        </w:rPr>
        <w:t>——数据文件；</w:t>
      </w:r>
    </w:p>
    <w:p>
      <w:pPr>
        <w:ind w:left="425"/>
        <w:rPr>
          <w:rFonts w:ascii="等线" w:hAnsi="等线"/>
          <w:szCs w:val="22"/>
        </w:rPr>
      </w:pPr>
      <w:r>
        <w:rPr>
          <w:rFonts w:hint="eastAsia" w:ascii="等线" w:hAnsi="等线"/>
          <w:szCs w:val="22"/>
        </w:rPr>
        <w:t>——图像文件；</w:t>
      </w:r>
    </w:p>
    <w:p>
      <w:pPr>
        <w:ind w:left="425"/>
        <w:rPr>
          <w:rFonts w:ascii="等线" w:hAnsi="等线"/>
          <w:szCs w:val="22"/>
        </w:rPr>
      </w:pPr>
      <w:r>
        <w:rPr>
          <w:rFonts w:hint="eastAsia" w:ascii="等线" w:hAnsi="等线"/>
          <w:szCs w:val="22"/>
        </w:rPr>
        <w:t>——音视频文件。</w:t>
      </w:r>
    </w:p>
    <w:p>
      <w:pPr>
        <w:ind w:left="425"/>
        <w:rPr>
          <w:rFonts w:hint="eastAsia" w:ascii="等线" w:hAnsi="等线"/>
          <w:szCs w:val="22"/>
        </w:rPr>
      </w:pPr>
    </w:p>
    <w:p>
      <w:pPr>
        <w:numPr>
          <w:ilvl w:val="0"/>
          <w:numId w:val="9"/>
        </w:numPr>
        <w:rPr>
          <w:rFonts w:hint="eastAsia" w:ascii="等线" w:hAnsi="等线" w:eastAsia="宋体" w:cs="Times New Roman"/>
          <w:szCs w:val="22"/>
        </w:rPr>
      </w:pPr>
      <w:r>
        <w:rPr>
          <w:rFonts w:hint="eastAsia" w:ascii="等线" w:hAnsi="等线" w:eastAsia="宋体" w:cs="Times New Roman"/>
          <w:szCs w:val="22"/>
        </w:rPr>
        <w:t>应支持对接收的电子会计资料全文进行格式转换的功能，生成符合国家、行业相关标准电子文件格式。Excel等格式文件转换为版式文件后涉及到跨页等问题，不能完整阅读的，宜支持原始格式在线查看；</w:t>
      </w:r>
    </w:p>
    <w:p>
      <w:pPr>
        <w:numPr>
          <w:ilvl w:val="0"/>
          <w:numId w:val="9"/>
        </w:numPr>
        <w:rPr>
          <w:rFonts w:ascii="等线" w:hAnsi="等线"/>
          <w:szCs w:val="22"/>
        </w:rPr>
      </w:pPr>
      <w:r>
        <w:rPr>
          <w:rFonts w:hint="eastAsia" w:ascii="等线" w:hAnsi="等线"/>
          <w:szCs w:val="22"/>
        </w:rPr>
        <w:t>应支持电子会计资料元数据与纸质会计资料同步接收，支持自动建立电子会计资料元数据与会计资料全文的关联关系；</w:t>
      </w:r>
    </w:p>
    <w:p>
      <w:pPr>
        <w:numPr>
          <w:ilvl w:val="0"/>
          <w:numId w:val="9"/>
        </w:numPr>
        <w:rPr>
          <w:rFonts w:ascii="等线" w:hAnsi="等线"/>
          <w:szCs w:val="22"/>
        </w:rPr>
      </w:pPr>
      <w:r>
        <w:rPr>
          <w:rFonts w:hint="eastAsia" w:ascii="宋体" w:hAnsi="宋体" w:cs="宋体"/>
          <w:kern w:val="0"/>
          <w:szCs w:val="21"/>
        </w:rPr>
        <w:t>应支持</w:t>
      </w:r>
      <w:r>
        <w:rPr>
          <w:rFonts w:hint="eastAsia" w:ascii="等线" w:hAnsi="等线"/>
          <w:szCs w:val="22"/>
        </w:rPr>
        <w:t>不限制接收电子</w:t>
      </w:r>
      <w:r>
        <w:rPr>
          <w:rFonts w:hint="eastAsia" w:ascii="等线" w:hAnsi="等线"/>
          <w:szCs w:val="22"/>
          <w:lang w:eastAsia="zh-CN"/>
        </w:rPr>
        <w:t>会计</w:t>
      </w:r>
      <w:r>
        <w:rPr>
          <w:rFonts w:hint="eastAsia" w:ascii="等线" w:hAnsi="等线"/>
          <w:szCs w:val="22"/>
        </w:rPr>
        <w:t>档案的数量，并</w:t>
      </w:r>
      <w:r>
        <w:rPr>
          <w:rFonts w:hint="eastAsia" w:ascii="宋体" w:hAnsi="宋体" w:cs="宋体"/>
          <w:kern w:val="0"/>
          <w:szCs w:val="21"/>
        </w:rPr>
        <w:t>对电子会计档案的接收数量、不合格退回数量等的统计与查询；</w:t>
      </w:r>
    </w:p>
    <w:p>
      <w:pPr>
        <w:numPr>
          <w:ilvl w:val="0"/>
          <w:numId w:val="9"/>
        </w:numPr>
        <w:rPr>
          <w:rFonts w:ascii="等线" w:hAnsi="等线"/>
          <w:szCs w:val="22"/>
        </w:rPr>
      </w:pPr>
      <w:r>
        <w:rPr>
          <w:rFonts w:hint="eastAsia" w:ascii="等线" w:hAnsi="等线"/>
          <w:szCs w:val="22"/>
        </w:rPr>
        <w:t>宜支持在接收或捕获时，对重复接收或捕获的电子会计档案进行识别，系统应发出警告；</w:t>
      </w:r>
    </w:p>
    <w:p>
      <w:pPr>
        <w:numPr>
          <w:ilvl w:val="0"/>
          <w:numId w:val="9"/>
        </w:numPr>
        <w:rPr>
          <w:rFonts w:ascii="等线" w:hAnsi="等线"/>
          <w:szCs w:val="22"/>
        </w:rPr>
      </w:pPr>
      <w:r>
        <w:rPr>
          <w:rFonts w:ascii="宋体" w:hAnsi="宋体" w:cs="宋体"/>
          <w:kern w:val="0"/>
          <w:szCs w:val="21"/>
        </w:rPr>
        <w:t>应能够生成与移交清单对应的电子档案接收单，并自动</w:t>
      </w:r>
      <w:r>
        <w:rPr>
          <w:rFonts w:hint="eastAsia" w:ascii="宋体" w:hAnsi="宋体" w:cs="宋体"/>
          <w:kern w:val="0"/>
          <w:szCs w:val="21"/>
        </w:rPr>
        <w:t>赋予</w:t>
      </w:r>
      <w:r>
        <w:rPr>
          <w:rFonts w:ascii="宋体" w:hAnsi="宋体" w:cs="宋体"/>
          <w:kern w:val="0"/>
          <w:szCs w:val="21"/>
        </w:rPr>
        <w:t>责任人、时间以及相关信息，提供输出等功能。</w:t>
      </w:r>
    </w:p>
    <w:p>
      <w:pPr>
        <w:keepNext/>
        <w:keepLines/>
        <w:numPr>
          <w:ilvl w:val="0"/>
          <w:numId w:val="0"/>
        </w:numPr>
        <w:spacing w:before="260" w:after="260" w:line="415" w:lineRule="auto"/>
        <w:ind w:leftChars="0"/>
        <w:outlineLvl w:val="2"/>
        <w:rPr>
          <w:rFonts w:ascii="等线" w:hAnsi="等线"/>
          <w:b/>
          <w:bCs/>
          <w:szCs w:val="32"/>
        </w:rPr>
      </w:pPr>
      <w:bookmarkStart w:id="306" w:name="_Toc37676481"/>
      <w:r>
        <w:rPr>
          <w:rFonts w:hint="default" w:ascii="等线" w:hAnsi="等线"/>
          <w:b/>
          <w:bCs/>
          <w:szCs w:val="32"/>
          <w:lang w:val="en"/>
        </w:rPr>
        <w:t>E.1.3</w:t>
      </w:r>
      <w:r>
        <w:rPr>
          <w:rFonts w:hint="eastAsia" w:ascii="等线" w:hAnsi="等线"/>
          <w:b/>
          <w:bCs/>
          <w:szCs w:val="32"/>
        </w:rPr>
        <w:t>电子会计资料和电子会计档案离线接收</w:t>
      </w:r>
      <w:bookmarkEnd w:id="306"/>
    </w:p>
    <w:p>
      <w:pPr>
        <w:numPr>
          <w:ilvl w:val="0"/>
          <w:numId w:val="10"/>
        </w:numPr>
        <w:rPr>
          <w:rFonts w:ascii="等线" w:hAnsi="等线"/>
          <w:szCs w:val="22"/>
        </w:rPr>
      </w:pPr>
      <w:r>
        <w:rPr>
          <w:rFonts w:hint="eastAsia" w:ascii="等线" w:hAnsi="等线"/>
          <w:szCs w:val="22"/>
        </w:rPr>
        <w:t>应支持电子会计资料、电子会计档案数据的离线批量导入功能，支持常见的</w:t>
      </w:r>
      <w:r>
        <w:rPr>
          <w:rFonts w:ascii="等线" w:hAnsi="等线"/>
          <w:szCs w:val="22"/>
        </w:rPr>
        <w:t>EXCEL、DBF、MDB、XML、TXT等格式文件的导入接收，并实现</w:t>
      </w:r>
      <w:r>
        <w:rPr>
          <w:rFonts w:hint="eastAsia" w:ascii="等线" w:hAnsi="等线"/>
          <w:szCs w:val="22"/>
        </w:rPr>
        <w:t>元数据、元</w:t>
      </w:r>
      <w:r>
        <w:rPr>
          <w:rFonts w:ascii="等线" w:hAnsi="等线"/>
          <w:szCs w:val="22"/>
        </w:rPr>
        <w:t>数据和电子全文的自动关联</w:t>
      </w:r>
      <w:r>
        <w:rPr>
          <w:rFonts w:hint="eastAsia" w:ascii="等线" w:hAnsi="等线"/>
          <w:szCs w:val="22"/>
        </w:rPr>
        <w:t>；</w:t>
      </w:r>
    </w:p>
    <w:p>
      <w:pPr>
        <w:numPr>
          <w:ilvl w:val="0"/>
          <w:numId w:val="10"/>
        </w:numPr>
        <w:rPr>
          <w:rFonts w:ascii="等线" w:hAnsi="等线"/>
          <w:szCs w:val="22"/>
        </w:rPr>
      </w:pPr>
      <w:r>
        <w:rPr>
          <w:rFonts w:hint="eastAsia" w:ascii="等线" w:hAnsi="等线"/>
          <w:szCs w:val="22"/>
        </w:rPr>
        <w:t>应支持接收导入过程中数据的校验，如是否唯一、是否可以为空、日期格式是否正确等；</w:t>
      </w:r>
    </w:p>
    <w:p>
      <w:pPr>
        <w:numPr>
          <w:ilvl w:val="0"/>
          <w:numId w:val="10"/>
        </w:numPr>
        <w:rPr>
          <w:rFonts w:ascii="等线" w:hAnsi="等线"/>
          <w:szCs w:val="22"/>
        </w:rPr>
      </w:pPr>
      <w:r>
        <w:rPr>
          <w:rFonts w:hint="eastAsia" w:ascii="等线" w:hAnsi="等线"/>
          <w:szCs w:val="22"/>
        </w:rPr>
        <w:t>应支持如出现部分数据导入失败时，提供报告说明；如出现中断（如：断电、断网、死机等），应支持再次导入时，断点续传功能；</w:t>
      </w:r>
    </w:p>
    <w:p>
      <w:pPr>
        <w:numPr>
          <w:ilvl w:val="0"/>
          <w:numId w:val="10"/>
        </w:numPr>
        <w:rPr>
          <w:rFonts w:ascii="等线" w:hAnsi="等线"/>
          <w:szCs w:val="22"/>
        </w:rPr>
      </w:pPr>
      <w:r>
        <w:rPr>
          <w:rFonts w:hint="eastAsia" w:ascii="等线" w:hAnsi="等线"/>
          <w:szCs w:val="22"/>
        </w:rPr>
        <w:t>应支持导入后形成符合《电子档案移交与接收办法》有关要求的交接凭据。</w:t>
      </w:r>
    </w:p>
    <w:p>
      <w:pPr>
        <w:keepNext/>
        <w:keepLines/>
        <w:numPr>
          <w:ilvl w:val="0"/>
          <w:numId w:val="0"/>
        </w:numPr>
        <w:spacing w:before="260" w:after="260" w:line="415" w:lineRule="auto"/>
        <w:ind w:leftChars="0"/>
        <w:outlineLvl w:val="2"/>
        <w:rPr>
          <w:rFonts w:ascii="等线" w:hAnsi="等线"/>
          <w:b/>
          <w:bCs/>
          <w:szCs w:val="32"/>
        </w:rPr>
      </w:pPr>
      <w:bookmarkStart w:id="307" w:name="_Toc37676482"/>
      <w:r>
        <w:rPr>
          <w:rFonts w:hint="default" w:ascii="等线" w:hAnsi="等线"/>
          <w:b/>
          <w:bCs/>
          <w:szCs w:val="32"/>
          <w:lang w:val="en"/>
        </w:rPr>
        <w:t>E.1.4</w:t>
      </w:r>
      <w:r>
        <w:rPr>
          <w:rFonts w:hint="eastAsia" w:ascii="等线" w:hAnsi="等线"/>
          <w:b/>
          <w:bCs/>
          <w:szCs w:val="32"/>
        </w:rPr>
        <w:t>接收检测</w:t>
      </w:r>
      <w:bookmarkEnd w:id="307"/>
    </w:p>
    <w:p>
      <w:pPr>
        <w:numPr>
          <w:ilvl w:val="0"/>
          <w:numId w:val="11"/>
        </w:numPr>
        <w:rPr>
          <w:rFonts w:ascii="等线" w:hAnsi="等线"/>
          <w:szCs w:val="22"/>
        </w:rPr>
      </w:pPr>
      <w:r>
        <w:rPr>
          <w:rFonts w:hint="eastAsia" w:ascii="等线" w:hAnsi="等线"/>
          <w:szCs w:val="22"/>
        </w:rPr>
        <w:t>应支持对归档接收的电子会计资料根据《</w:t>
      </w:r>
      <w:r>
        <w:rPr>
          <w:rFonts w:ascii="等线" w:hAnsi="等线"/>
          <w:szCs w:val="22"/>
        </w:rPr>
        <w:t>文书类电子档案检测一般要求</w:t>
      </w:r>
      <w:r>
        <w:rPr>
          <w:rFonts w:hint="eastAsia" w:ascii="等线" w:hAnsi="等线"/>
          <w:szCs w:val="22"/>
        </w:rPr>
        <w:t>》</w:t>
      </w:r>
      <w:r>
        <w:rPr>
          <w:rFonts w:ascii="等线" w:hAnsi="等线"/>
          <w:szCs w:val="22"/>
        </w:rPr>
        <w:t>（DA</w:t>
      </w:r>
      <w:r>
        <w:rPr>
          <w:rFonts w:hint="eastAsia" w:ascii="等线" w:hAnsi="等线"/>
          <w:szCs w:val="22"/>
        </w:rPr>
        <w:t>/</w:t>
      </w:r>
      <w:r>
        <w:rPr>
          <w:rFonts w:ascii="等线" w:hAnsi="等线"/>
          <w:szCs w:val="22"/>
        </w:rPr>
        <w:t>T 70</w:t>
      </w:r>
      <w:r>
        <w:rPr>
          <w:rFonts w:hint="eastAsia" w:ascii="等线" w:hAnsi="等线"/>
          <w:szCs w:val="22"/>
        </w:rPr>
        <w:t>）进行真实性、完整性、可用性、安全性的检测；</w:t>
      </w:r>
    </w:p>
    <w:p>
      <w:pPr>
        <w:numPr>
          <w:ilvl w:val="0"/>
          <w:numId w:val="11"/>
        </w:numPr>
        <w:rPr>
          <w:rFonts w:ascii="等线" w:hAnsi="等线"/>
          <w:szCs w:val="22"/>
        </w:rPr>
      </w:pPr>
      <w:r>
        <w:rPr>
          <w:rFonts w:hint="eastAsia" w:ascii="等线" w:hAnsi="等线"/>
          <w:szCs w:val="22"/>
        </w:rPr>
        <w:t>应支持检测后显示详细检测结果及问题说明；</w:t>
      </w:r>
    </w:p>
    <w:p>
      <w:pPr>
        <w:numPr>
          <w:ilvl w:val="0"/>
          <w:numId w:val="11"/>
        </w:numPr>
        <w:rPr>
          <w:rFonts w:ascii="等线" w:hAnsi="等线"/>
          <w:szCs w:val="22"/>
        </w:rPr>
      </w:pPr>
      <w:r>
        <w:rPr>
          <w:rFonts w:hint="eastAsia" w:ascii="等线" w:hAnsi="等线"/>
          <w:szCs w:val="22"/>
        </w:rPr>
        <w:t>应支持检测完成后以件为单位形成检测业务实体元数据，保存在元数据中；</w:t>
      </w:r>
    </w:p>
    <w:p>
      <w:pPr>
        <w:numPr>
          <w:ilvl w:val="0"/>
          <w:numId w:val="11"/>
        </w:numPr>
        <w:rPr>
          <w:rFonts w:ascii="等线" w:hAnsi="等线"/>
          <w:szCs w:val="22"/>
        </w:rPr>
      </w:pPr>
      <w:r>
        <w:rPr>
          <w:rFonts w:hint="eastAsia" w:ascii="等线" w:hAnsi="等线"/>
          <w:szCs w:val="22"/>
        </w:rPr>
        <w:t>应支持对接收的电子会计资料全文进行格式转换，包括按件转换和批量转换。</w:t>
      </w:r>
    </w:p>
    <w:p>
      <w:pPr>
        <w:keepNext/>
        <w:keepLines/>
        <w:numPr>
          <w:ilvl w:val="0"/>
          <w:numId w:val="0"/>
        </w:numPr>
        <w:spacing w:before="260" w:after="260" w:line="415" w:lineRule="auto"/>
        <w:ind w:leftChars="0"/>
        <w:outlineLvl w:val="1"/>
        <w:rPr>
          <w:rFonts w:ascii="宋体" w:hAnsi="宋体"/>
          <w:b/>
          <w:bCs/>
          <w:szCs w:val="32"/>
        </w:rPr>
      </w:pPr>
      <w:bookmarkStart w:id="308" w:name="_Toc37676484"/>
      <w:r>
        <w:rPr>
          <w:rFonts w:hint="default" w:ascii="宋体" w:hAnsi="宋体"/>
          <w:b/>
          <w:bCs/>
          <w:szCs w:val="32"/>
          <w:lang w:val="en"/>
        </w:rPr>
        <w:t>E.2</w:t>
      </w:r>
      <w:r>
        <w:rPr>
          <w:rFonts w:hint="eastAsia" w:ascii="宋体" w:hAnsi="宋体"/>
          <w:b/>
          <w:bCs/>
          <w:szCs w:val="32"/>
        </w:rPr>
        <w:t>归档文件整理功能</w:t>
      </w:r>
      <w:bookmarkEnd w:id="308"/>
    </w:p>
    <w:p>
      <w:pPr>
        <w:pStyle w:val="70"/>
        <w:keepNext/>
        <w:keepLines/>
        <w:numPr>
          <w:ilvl w:val="0"/>
          <w:numId w:val="7"/>
        </w:numPr>
        <w:spacing w:before="260" w:after="260" w:line="415" w:lineRule="auto"/>
        <w:ind w:firstLineChars="0"/>
        <w:outlineLvl w:val="2"/>
        <w:rPr>
          <w:rFonts w:hint="eastAsia" w:ascii="等线" w:hAnsi="等线"/>
          <w:b/>
          <w:bCs/>
          <w:vanish/>
          <w:szCs w:val="32"/>
        </w:rPr>
      </w:pPr>
      <w:bookmarkStart w:id="309" w:name="_Toc37676485"/>
      <w:bookmarkEnd w:id="309"/>
      <w:bookmarkStart w:id="310" w:name="_Toc37676486"/>
    </w:p>
    <w:p>
      <w:pPr>
        <w:keepNext/>
        <w:keepLines/>
        <w:numPr>
          <w:ilvl w:val="0"/>
          <w:numId w:val="0"/>
        </w:numPr>
        <w:spacing w:before="260" w:after="260" w:line="415" w:lineRule="auto"/>
        <w:ind w:leftChars="0"/>
        <w:outlineLvl w:val="2"/>
        <w:rPr>
          <w:rFonts w:ascii="等线" w:hAnsi="等线"/>
          <w:b/>
          <w:bCs/>
          <w:szCs w:val="32"/>
        </w:rPr>
      </w:pPr>
      <w:r>
        <w:rPr>
          <w:rFonts w:hint="default" w:ascii="等线" w:hAnsi="等线"/>
          <w:b/>
          <w:bCs/>
          <w:szCs w:val="32"/>
          <w:lang w:val="en"/>
        </w:rPr>
        <w:t>E.2.1</w:t>
      </w:r>
      <w:r>
        <w:rPr>
          <w:rFonts w:hint="eastAsia" w:ascii="等线" w:hAnsi="等线"/>
          <w:b/>
          <w:bCs/>
          <w:szCs w:val="32"/>
        </w:rPr>
        <w:t>划定保管期限</w:t>
      </w:r>
      <w:bookmarkEnd w:id="310"/>
    </w:p>
    <w:p>
      <w:pPr>
        <w:ind w:left="425"/>
        <w:rPr>
          <w:rFonts w:ascii="等线" w:hAnsi="等线"/>
          <w:szCs w:val="22"/>
        </w:rPr>
      </w:pPr>
      <w:r>
        <w:rPr>
          <w:rFonts w:hint="eastAsia" w:ascii="等线" w:hAnsi="等线"/>
          <w:szCs w:val="22"/>
        </w:rPr>
        <w:t>应支持照电子会计档案保管期限表对归档电子会计资料划定保管期限。</w:t>
      </w:r>
    </w:p>
    <w:p>
      <w:pPr>
        <w:keepNext/>
        <w:keepLines/>
        <w:numPr>
          <w:ilvl w:val="0"/>
          <w:numId w:val="0"/>
        </w:numPr>
        <w:spacing w:before="260" w:after="260" w:line="415" w:lineRule="auto"/>
        <w:ind w:leftChars="0"/>
        <w:outlineLvl w:val="2"/>
        <w:rPr>
          <w:rFonts w:ascii="等线" w:hAnsi="等线"/>
          <w:b/>
          <w:bCs/>
          <w:szCs w:val="32"/>
        </w:rPr>
      </w:pPr>
      <w:bookmarkStart w:id="311" w:name="_Toc37676487"/>
      <w:r>
        <w:rPr>
          <w:rFonts w:hint="default" w:ascii="等线" w:hAnsi="等线"/>
          <w:b/>
          <w:bCs/>
          <w:szCs w:val="32"/>
          <w:lang w:val="en"/>
        </w:rPr>
        <w:t>E.2.2</w:t>
      </w:r>
      <w:r>
        <w:rPr>
          <w:rFonts w:hint="eastAsia" w:ascii="等线" w:hAnsi="等线"/>
          <w:b/>
          <w:bCs/>
          <w:szCs w:val="32"/>
        </w:rPr>
        <w:t>组件</w:t>
      </w:r>
      <w:bookmarkEnd w:id="311"/>
    </w:p>
    <w:p>
      <w:pPr>
        <w:numPr>
          <w:ilvl w:val="0"/>
          <w:numId w:val="12"/>
        </w:numPr>
        <w:rPr>
          <w:rFonts w:ascii="等线" w:hAnsi="等线"/>
          <w:szCs w:val="22"/>
        </w:rPr>
      </w:pPr>
      <w:r>
        <w:rPr>
          <w:rFonts w:hint="eastAsia" w:ascii="等线" w:hAnsi="等线"/>
          <w:szCs w:val="22"/>
        </w:rPr>
        <w:t>应支持对来自于同一业务系统或不同业务系统的归档电子会计资料按照电子</w:t>
      </w:r>
      <w:r>
        <w:rPr>
          <w:rFonts w:ascii="等线" w:hAnsi="等线"/>
          <w:szCs w:val="22"/>
        </w:rPr>
        <w:t>会计资料的形成规律和会计事项成套的特点</w:t>
      </w:r>
      <w:r>
        <w:rPr>
          <w:rFonts w:hint="eastAsia" w:ascii="等线" w:hAnsi="等线"/>
          <w:szCs w:val="22"/>
        </w:rPr>
        <w:t>将归档电子会计资料组成“件”，并</w:t>
      </w:r>
      <w:r>
        <w:rPr>
          <w:rFonts w:ascii="等线" w:hAnsi="等线"/>
          <w:szCs w:val="22"/>
        </w:rPr>
        <w:t>保持会计事项文件之间的有机联系</w:t>
      </w:r>
      <w:r>
        <w:rPr>
          <w:rFonts w:hint="eastAsia" w:ascii="等线" w:hAnsi="等线"/>
          <w:szCs w:val="22"/>
        </w:rPr>
        <w:t>；</w:t>
      </w:r>
    </w:p>
    <w:p>
      <w:pPr>
        <w:numPr>
          <w:ilvl w:val="0"/>
          <w:numId w:val="12"/>
        </w:numPr>
        <w:rPr>
          <w:rFonts w:ascii="等线" w:hAnsi="等线"/>
          <w:szCs w:val="22"/>
        </w:rPr>
      </w:pPr>
      <w:r>
        <w:rPr>
          <w:rFonts w:hint="eastAsia" w:ascii="等线" w:hAnsi="等线"/>
          <w:szCs w:val="22"/>
        </w:rPr>
        <w:t>应支持对件内电子会计资料的子件进行排序；</w:t>
      </w:r>
    </w:p>
    <w:p>
      <w:pPr>
        <w:numPr>
          <w:ilvl w:val="0"/>
          <w:numId w:val="12"/>
        </w:numPr>
        <w:rPr>
          <w:rFonts w:ascii="等线" w:hAnsi="等线"/>
          <w:szCs w:val="22"/>
        </w:rPr>
      </w:pPr>
      <w:r>
        <w:rPr>
          <w:rFonts w:hint="eastAsia" w:ascii="等线" w:hAnsi="等线"/>
          <w:szCs w:val="22"/>
        </w:rPr>
        <w:t>应支持组件后的撤销组件、重新组件等。</w:t>
      </w:r>
    </w:p>
    <w:p>
      <w:pPr>
        <w:rPr>
          <w:rFonts w:ascii="等线" w:hAnsi="等线"/>
          <w:szCs w:val="22"/>
        </w:rPr>
      </w:pPr>
    </w:p>
    <w:p>
      <w:pPr>
        <w:keepNext/>
        <w:keepLines/>
        <w:numPr>
          <w:ilvl w:val="0"/>
          <w:numId w:val="0"/>
        </w:numPr>
        <w:spacing w:before="260" w:after="260" w:line="415" w:lineRule="auto"/>
        <w:ind w:leftChars="0"/>
        <w:outlineLvl w:val="2"/>
        <w:rPr>
          <w:rFonts w:ascii="等线" w:hAnsi="等线"/>
          <w:b/>
          <w:bCs/>
          <w:szCs w:val="32"/>
        </w:rPr>
      </w:pPr>
      <w:bookmarkStart w:id="312" w:name="_Toc37676488"/>
      <w:r>
        <w:rPr>
          <w:rFonts w:hint="default" w:ascii="等线" w:hAnsi="等线"/>
          <w:b/>
          <w:bCs/>
          <w:szCs w:val="32"/>
          <w:lang w:val="en"/>
        </w:rPr>
        <w:t>E.2.3</w:t>
      </w:r>
      <w:r>
        <w:rPr>
          <w:rFonts w:hint="eastAsia" w:ascii="等线" w:hAnsi="等线"/>
          <w:b/>
          <w:bCs/>
          <w:szCs w:val="32"/>
        </w:rPr>
        <w:t>分类</w:t>
      </w:r>
      <w:bookmarkEnd w:id="312"/>
    </w:p>
    <w:p>
      <w:pPr>
        <w:ind w:left="425"/>
        <w:rPr>
          <w:rFonts w:ascii="等线" w:hAnsi="等线"/>
          <w:szCs w:val="22"/>
        </w:rPr>
      </w:pPr>
      <w:r>
        <w:rPr>
          <w:rFonts w:hint="eastAsia" w:ascii="等线" w:hAnsi="等线"/>
          <w:szCs w:val="22"/>
        </w:rPr>
        <w:t>应支持按照设定的会计档案分类方案，将电子会计资料进行分类，并给定分类代号。</w:t>
      </w:r>
    </w:p>
    <w:p>
      <w:pPr>
        <w:keepNext/>
        <w:keepLines/>
        <w:numPr>
          <w:ilvl w:val="0"/>
          <w:numId w:val="0"/>
        </w:numPr>
        <w:spacing w:before="260" w:after="260" w:line="415" w:lineRule="auto"/>
        <w:ind w:leftChars="0"/>
        <w:outlineLvl w:val="2"/>
        <w:rPr>
          <w:rFonts w:ascii="等线" w:hAnsi="等线"/>
          <w:b/>
          <w:bCs/>
          <w:szCs w:val="22"/>
        </w:rPr>
      </w:pPr>
      <w:bookmarkStart w:id="313" w:name="_Toc37676489"/>
      <w:r>
        <w:rPr>
          <w:rFonts w:hint="default" w:ascii="等线" w:hAnsi="等线"/>
          <w:b/>
          <w:bCs/>
          <w:szCs w:val="22"/>
          <w:lang w:val="en"/>
        </w:rPr>
        <w:t>E.2.4</w:t>
      </w:r>
      <w:r>
        <w:rPr>
          <w:rFonts w:hint="eastAsia" w:ascii="等线" w:hAnsi="等线"/>
          <w:b/>
          <w:bCs/>
          <w:szCs w:val="22"/>
        </w:rPr>
        <w:t>组成保管单位</w:t>
      </w:r>
      <w:bookmarkEnd w:id="313"/>
    </w:p>
    <w:p>
      <w:pPr>
        <w:numPr>
          <w:ilvl w:val="0"/>
          <w:numId w:val="13"/>
        </w:numPr>
        <w:rPr>
          <w:rFonts w:ascii="等线" w:hAnsi="等线"/>
          <w:szCs w:val="22"/>
        </w:rPr>
      </w:pPr>
      <w:r>
        <w:rPr>
          <w:rFonts w:hint="eastAsia" w:ascii="等线" w:hAnsi="等线"/>
          <w:szCs w:val="22"/>
        </w:rPr>
        <w:t>应支持对归档电子会计资料按照《会计档案案卷格式》（DA/T 39）规则自动或在人工干预下组成卷或盒，并能按规则将卷（盒）内电子会计资料排序定位，包括并不限制：</w:t>
      </w:r>
    </w:p>
    <w:p>
      <w:pPr>
        <w:ind w:firstLine="420" w:firstLineChars="200"/>
        <w:rPr>
          <w:rFonts w:ascii="等线" w:hAnsi="等线"/>
          <w:szCs w:val="22"/>
        </w:rPr>
      </w:pPr>
      <w:r>
        <w:rPr>
          <w:rFonts w:hint="eastAsia" w:ascii="等线" w:hAnsi="等线"/>
          <w:szCs w:val="22"/>
        </w:rPr>
        <w:t>——应支持电子会计资料元数据和档案标引信息的自动生成功能；</w:t>
      </w:r>
    </w:p>
    <w:p>
      <w:pPr>
        <w:rPr>
          <w:rFonts w:ascii="等线" w:hAnsi="等线"/>
          <w:szCs w:val="22"/>
        </w:rPr>
      </w:pPr>
      <w:r>
        <w:rPr>
          <w:rFonts w:ascii="等线" w:hAnsi="等线"/>
          <w:szCs w:val="22"/>
        </w:rPr>
        <w:softHyphen/>
      </w:r>
      <w:r>
        <w:rPr>
          <w:rFonts w:ascii="等线" w:hAnsi="等线"/>
          <w:szCs w:val="22"/>
        </w:rPr>
        <w:softHyphen/>
      </w:r>
      <w:r>
        <w:rPr>
          <w:rFonts w:ascii="等线" w:hAnsi="等线"/>
          <w:szCs w:val="22"/>
        </w:rPr>
        <w:t xml:space="preserve">    </w:t>
      </w:r>
      <w:r>
        <w:rPr>
          <w:rFonts w:hint="eastAsia" w:ascii="等线" w:hAnsi="等线"/>
          <w:szCs w:val="22"/>
        </w:rPr>
        <w:t>——应支持电子会计资料目录的自动生成功能。</w:t>
      </w:r>
    </w:p>
    <w:p>
      <w:pPr>
        <w:numPr>
          <w:ilvl w:val="0"/>
          <w:numId w:val="13"/>
        </w:numPr>
        <w:rPr>
          <w:rFonts w:ascii="等线" w:hAnsi="等线"/>
          <w:szCs w:val="22"/>
        </w:rPr>
      </w:pPr>
      <w:r>
        <w:rPr>
          <w:rFonts w:hint="eastAsia" w:ascii="等线" w:hAnsi="等线"/>
          <w:szCs w:val="22"/>
        </w:rPr>
        <w:t>应支持在人工干预下调整归档会计资料所属卷（盒）并重新排序定位。</w:t>
      </w:r>
    </w:p>
    <w:p>
      <w:pPr>
        <w:keepNext/>
        <w:keepLines/>
        <w:numPr>
          <w:ilvl w:val="0"/>
          <w:numId w:val="0"/>
        </w:numPr>
        <w:spacing w:before="260" w:after="260" w:line="415" w:lineRule="auto"/>
        <w:ind w:leftChars="0"/>
        <w:outlineLvl w:val="2"/>
        <w:rPr>
          <w:rFonts w:ascii="等线" w:hAnsi="等线"/>
          <w:b/>
          <w:bCs/>
          <w:szCs w:val="32"/>
        </w:rPr>
      </w:pPr>
      <w:bookmarkStart w:id="314" w:name="_Toc37676490"/>
      <w:r>
        <w:rPr>
          <w:rFonts w:hint="default" w:ascii="等线" w:hAnsi="等线"/>
          <w:b/>
          <w:bCs/>
          <w:szCs w:val="32"/>
          <w:lang w:val="en"/>
        </w:rPr>
        <w:t>E.2.5</w:t>
      </w:r>
      <w:r>
        <w:rPr>
          <w:rFonts w:hint="eastAsia" w:ascii="等线" w:hAnsi="等线"/>
          <w:b/>
          <w:bCs/>
          <w:szCs w:val="32"/>
        </w:rPr>
        <w:t>编号</w:t>
      </w:r>
      <w:bookmarkEnd w:id="314"/>
    </w:p>
    <w:p>
      <w:pPr>
        <w:ind w:left="425"/>
        <w:rPr>
          <w:rFonts w:ascii="等线" w:hAnsi="等线"/>
          <w:szCs w:val="22"/>
        </w:rPr>
      </w:pPr>
      <w:r>
        <w:rPr>
          <w:rFonts w:hint="eastAsia" w:ascii="等线" w:hAnsi="等线"/>
          <w:szCs w:val="22"/>
        </w:rPr>
        <w:t>应支持依据档号编制规则形成档号，所形成档号唯一、合理、稳定、可扩充、简单。</w:t>
      </w:r>
    </w:p>
    <w:p>
      <w:pPr>
        <w:keepNext/>
        <w:keepLines/>
        <w:numPr>
          <w:ilvl w:val="0"/>
          <w:numId w:val="0"/>
        </w:numPr>
        <w:spacing w:before="260" w:after="260" w:line="415" w:lineRule="auto"/>
        <w:ind w:leftChars="0"/>
        <w:outlineLvl w:val="2"/>
        <w:rPr>
          <w:rFonts w:ascii="等线" w:hAnsi="等线"/>
          <w:b/>
          <w:bCs/>
          <w:szCs w:val="32"/>
        </w:rPr>
      </w:pPr>
      <w:bookmarkStart w:id="315" w:name="_Toc37676491"/>
      <w:r>
        <w:rPr>
          <w:rFonts w:hint="default" w:ascii="等线" w:hAnsi="等线"/>
          <w:b/>
          <w:bCs/>
          <w:szCs w:val="32"/>
          <w:lang w:val="en"/>
        </w:rPr>
        <w:t>E.2.6</w:t>
      </w:r>
      <w:r>
        <w:rPr>
          <w:rFonts w:hint="eastAsia" w:ascii="等线" w:hAnsi="等线"/>
          <w:b/>
          <w:bCs/>
          <w:szCs w:val="32"/>
        </w:rPr>
        <w:t>编目</w:t>
      </w:r>
      <w:bookmarkEnd w:id="315"/>
    </w:p>
    <w:p>
      <w:pPr>
        <w:numPr>
          <w:ilvl w:val="0"/>
          <w:numId w:val="14"/>
        </w:numPr>
        <w:rPr>
          <w:rFonts w:ascii="等线" w:hAnsi="等线"/>
          <w:szCs w:val="22"/>
        </w:rPr>
      </w:pPr>
      <w:r>
        <w:rPr>
          <w:rFonts w:hint="eastAsia" w:ascii="等线" w:hAnsi="等线"/>
          <w:szCs w:val="22"/>
        </w:rPr>
        <w:t>应支持提供规范的会计档案目录模板，能按照《会计档案案卷格式》（DA/T 39）套打出案卷封面、卷内目录或归档文件目录、全引目录、备考表、卷（盒）封面和脊背等；</w:t>
      </w:r>
    </w:p>
    <w:p>
      <w:pPr>
        <w:numPr>
          <w:ilvl w:val="0"/>
          <w:numId w:val="14"/>
        </w:numPr>
        <w:rPr>
          <w:rFonts w:ascii="等线" w:hAnsi="等线"/>
          <w:szCs w:val="22"/>
        </w:rPr>
      </w:pPr>
      <w:r>
        <w:rPr>
          <w:rFonts w:hint="eastAsia" w:ascii="等线" w:hAnsi="等线"/>
          <w:szCs w:val="22"/>
        </w:rPr>
        <w:t>应支持进行目录模板制作，可以对模板中的字体、打印内容、排序方式等进行调整；</w:t>
      </w:r>
    </w:p>
    <w:p>
      <w:pPr>
        <w:numPr>
          <w:ilvl w:val="0"/>
          <w:numId w:val="14"/>
        </w:numPr>
        <w:rPr>
          <w:rFonts w:ascii="等线" w:hAnsi="等线"/>
          <w:szCs w:val="22"/>
        </w:rPr>
      </w:pPr>
      <w:r>
        <w:rPr>
          <w:rFonts w:hint="eastAsia" w:ascii="等线" w:hAnsi="等线"/>
          <w:szCs w:val="22"/>
        </w:rPr>
        <w:t>应支持打印预览功能，宜支持多模板批量生成和打印功能；</w:t>
      </w:r>
    </w:p>
    <w:p>
      <w:pPr>
        <w:numPr>
          <w:ilvl w:val="0"/>
          <w:numId w:val="14"/>
        </w:numPr>
        <w:rPr>
          <w:rFonts w:ascii="等线" w:hAnsi="等线"/>
          <w:szCs w:val="22"/>
        </w:rPr>
      </w:pPr>
      <w:r>
        <w:rPr>
          <w:rFonts w:hint="eastAsia" w:ascii="等线" w:hAnsi="等线"/>
          <w:szCs w:val="22"/>
        </w:rPr>
        <w:t>应支持根据模板对选定的归档电子会计资料或电子会计档案形成相应的目录；</w:t>
      </w:r>
    </w:p>
    <w:p>
      <w:pPr>
        <w:numPr>
          <w:ilvl w:val="0"/>
          <w:numId w:val="14"/>
        </w:numPr>
        <w:rPr>
          <w:rFonts w:ascii="等线" w:hAnsi="等线"/>
          <w:szCs w:val="22"/>
        </w:rPr>
      </w:pPr>
      <w:r>
        <w:rPr>
          <w:rFonts w:hint="eastAsia" w:ascii="等线" w:hAnsi="等线"/>
          <w:szCs w:val="22"/>
        </w:rPr>
        <w:t>应支持按照《会计档案案卷格式》（DA/T 39）格式将案卷封面、卷内目录、归档文件目录或全引目录、案卷目录、备考表等通用格式文件导出功能；</w:t>
      </w:r>
    </w:p>
    <w:p>
      <w:pPr>
        <w:numPr>
          <w:ilvl w:val="0"/>
          <w:numId w:val="14"/>
        </w:numPr>
        <w:rPr>
          <w:rFonts w:ascii="等线" w:hAnsi="等线"/>
          <w:szCs w:val="22"/>
        </w:rPr>
      </w:pPr>
      <w:r>
        <w:rPr>
          <w:rFonts w:hint="eastAsia" w:ascii="等线" w:hAnsi="等线"/>
          <w:szCs w:val="22"/>
        </w:rPr>
        <w:t>应支持会计档案编目操作过程应有审计跟踪日志，可追踪、审计和审查。</w:t>
      </w:r>
    </w:p>
    <w:p>
      <w:pPr>
        <w:rPr>
          <w:rFonts w:ascii="等线" w:hAnsi="等线"/>
          <w:szCs w:val="22"/>
        </w:rPr>
      </w:pPr>
    </w:p>
    <w:p>
      <w:pPr>
        <w:keepNext/>
        <w:keepLines/>
        <w:numPr>
          <w:ilvl w:val="0"/>
          <w:numId w:val="0"/>
        </w:numPr>
        <w:spacing w:before="260" w:after="260" w:line="415" w:lineRule="auto"/>
        <w:ind w:leftChars="0"/>
        <w:outlineLvl w:val="2"/>
        <w:rPr>
          <w:rFonts w:ascii="等线" w:hAnsi="等线"/>
          <w:b/>
          <w:bCs/>
          <w:szCs w:val="32"/>
        </w:rPr>
      </w:pPr>
      <w:bookmarkStart w:id="316" w:name="_Toc37676492"/>
      <w:r>
        <w:rPr>
          <w:rFonts w:hint="default" w:ascii="等线" w:hAnsi="等线"/>
          <w:b/>
          <w:bCs/>
          <w:szCs w:val="32"/>
          <w:lang w:val="en"/>
        </w:rPr>
        <w:t>E.2.7</w:t>
      </w:r>
      <w:r>
        <w:rPr>
          <w:rFonts w:hint="eastAsia" w:ascii="等线" w:hAnsi="等线"/>
          <w:b/>
          <w:bCs/>
          <w:szCs w:val="32"/>
        </w:rPr>
        <w:t>关联关系建立</w:t>
      </w:r>
      <w:bookmarkEnd w:id="316"/>
    </w:p>
    <w:p>
      <w:pPr>
        <w:numPr>
          <w:ilvl w:val="0"/>
          <w:numId w:val="15"/>
        </w:numPr>
        <w:rPr>
          <w:rFonts w:ascii="等线" w:hAnsi="等线"/>
          <w:szCs w:val="22"/>
        </w:rPr>
      </w:pPr>
      <w:r>
        <w:rPr>
          <w:rFonts w:hint="eastAsia" w:ascii="等线" w:hAnsi="等线"/>
          <w:szCs w:val="22"/>
        </w:rPr>
        <w:t>应支持建立同一会计档案及其子件间关联关系的功能，包括并不限制：</w:t>
      </w:r>
    </w:p>
    <w:p>
      <w:pPr>
        <w:ind w:left="425"/>
        <w:rPr>
          <w:rFonts w:ascii="等线" w:hAnsi="等线"/>
          <w:szCs w:val="22"/>
        </w:rPr>
      </w:pPr>
      <w:r>
        <w:rPr>
          <w:rFonts w:hint="eastAsia" w:ascii="等线" w:hAnsi="等线"/>
          <w:szCs w:val="22"/>
        </w:rPr>
        <w:t>——应支持建立电子记账凭证与电子原始凭证的关联关系；</w:t>
      </w:r>
    </w:p>
    <w:p>
      <w:pPr>
        <w:ind w:left="425"/>
        <w:rPr>
          <w:rFonts w:ascii="等线" w:hAnsi="等线"/>
          <w:szCs w:val="22"/>
        </w:rPr>
      </w:pPr>
      <w:r>
        <w:rPr>
          <w:rFonts w:hint="eastAsia" w:ascii="等线" w:hAnsi="等线"/>
          <w:szCs w:val="22"/>
        </w:rPr>
        <w:t>——应支持归档电子会计资料主件与附件之间的关联关系；</w:t>
      </w:r>
    </w:p>
    <w:p>
      <w:pPr>
        <w:ind w:left="425"/>
        <w:rPr>
          <w:rFonts w:ascii="等线" w:hAnsi="等线"/>
          <w:szCs w:val="22"/>
        </w:rPr>
      </w:pPr>
      <w:r>
        <w:rPr>
          <w:rFonts w:hint="eastAsia" w:ascii="等线" w:hAnsi="等线"/>
          <w:szCs w:val="22"/>
        </w:rPr>
        <w:t>——应支持电子会计资料全文与元数据间建立关联关系；</w:t>
      </w:r>
    </w:p>
    <w:p>
      <w:pPr>
        <w:ind w:left="425"/>
        <w:rPr>
          <w:rFonts w:ascii="等线" w:hAnsi="等线"/>
          <w:szCs w:val="22"/>
        </w:rPr>
      </w:pPr>
      <w:r>
        <w:rPr>
          <w:rFonts w:hint="eastAsia" w:ascii="等线" w:hAnsi="等线"/>
          <w:szCs w:val="22"/>
        </w:rPr>
        <w:t>——应支持同一核算单位的电子会计档案之间建立关联关系。</w:t>
      </w:r>
    </w:p>
    <w:p>
      <w:pPr>
        <w:numPr>
          <w:ilvl w:val="0"/>
          <w:numId w:val="15"/>
        </w:numPr>
        <w:rPr>
          <w:rFonts w:ascii="等线" w:hAnsi="等线"/>
          <w:szCs w:val="22"/>
        </w:rPr>
      </w:pPr>
      <w:r>
        <w:rPr>
          <w:rFonts w:hint="eastAsia" w:ascii="等线" w:hAnsi="等线"/>
          <w:szCs w:val="22"/>
        </w:rPr>
        <w:t>应支持电子会计档案元数据在档案移动、修改、处置后能够自动及时更新，确保关联关系的正确性；</w:t>
      </w:r>
    </w:p>
    <w:p>
      <w:pPr>
        <w:numPr>
          <w:ilvl w:val="0"/>
          <w:numId w:val="15"/>
        </w:numPr>
        <w:rPr>
          <w:rFonts w:ascii="等线" w:hAnsi="等线"/>
          <w:szCs w:val="22"/>
        </w:rPr>
      </w:pPr>
      <w:r>
        <w:rPr>
          <w:rFonts w:hint="eastAsia" w:ascii="等线" w:hAnsi="等线"/>
          <w:szCs w:val="22"/>
        </w:rPr>
        <w:t>应支持电子会计档案之间的关联关系在档案移动、修改、处置后能够自动及时更新，确保关联的正确性；</w:t>
      </w:r>
    </w:p>
    <w:p>
      <w:pPr>
        <w:numPr>
          <w:ilvl w:val="0"/>
          <w:numId w:val="15"/>
        </w:numPr>
        <w:rPr>
          <w:rFonts w:ascii="等线" w:hAnsi="等线"/>
          <w:szCs w:val="22"/>
        </w:rPr>
      </w:pPr>
      <w:r>
        <w:rPr>
          <w:rFonts w:hint="eastAsia" w:ascii="等线" w:hAnsi="等线"/>
          <w:szCs w:val="22"/>
        </w:rPr>
        <w:t>关联功能的操作应有审计跟踪日志，可追踪、审计和审查；</w:t>
      </w:r>
    </w:p>
    <w:p>
      <w:pPr>
        <w:numPr>
          <w:ilvl w:val="0"/>
          <w:numId w:val="15"/>
        </w:numPr>
        <w:rPr>
          <w:rFonts w:ascii="等线" w:hAnsi="等线"/>
          <w:szCs w:val="22"/>
        </w:rPr>
      </w:pPr>
      <w:r>
        <w:rPr>
          <w:rFonts w:hint="eastAsia" w:ascii="等线" w:hAnsi="等线"/>
          <w:szCs w:val="22"/>
        </w:rPr>
        <w:t>宜支持存在纸质会计档案时，可维护纸质会计档案与电子会计档案的关联关系。</w:t>
      </w:r>
    </w:p>
    <w:p>
      <w:pPr>
        <w:keepNext/>
        <w:keepLines/>
        <w:numPr>
          <w:ilvl w:val="0"/>
          <w:numId w:val="0"/>
        </w:numPr>
        <w:spacing w:before="260" w:after="260" w:line="415" w:lineRule="auto"/>
        <w:ind w:leftChars="0"/>
        <w:outlineLvl w:val="1"/>
        <w:rPr>
          <w:rFonts w:ascii="等线 Light" w:hAnsi="等线 Light"/>
          <w:b/>
          <w:bCs/>
          <w:szCs w:val="32"/>
        </w:rPr>
      </w:pPr>
      <w:bookmarkStart w:id="317" w:name="_Toc37676493"/>
      <w:r>
        <w:rPr>
          <w:rFonts w:hint="default" w:ascii="等线 Light" w:hAnsi="等线 Light"/>
          <w:b/>
          <w:bCs/>
          <w:szCs w:val="32"/>
          <w:lang w:val="en"/>
        </w:rPr>
        <w:t>E.3</w:t>
      </w:r>
      <w:r>
        <w:rPr>
          <w:rFonts w:ascii="等线 Light" w:hAnsi="等线 Light"/>
          <w:b/>
          <w:bCs/>
          <w:szCs w:val="32"/>
        </w:rPr>
        <w:t>电子档案存储功能</w:t>
      </w:r>
      <w:bookmarkEnd w:id="317"/>
    </w:p>
    <w:p>
      <w:pPr>
        <w:numPr>
          <w:ilvl w:val="0"/>
          <w:numId w:val="16"/>
        </w:numPr>
        <w:rPr>
          <w:rFonts w:ascii="等线" w:hAnsi="等线"/>
          <w:szCs w:val="22"/>
        </w:rPr>
      </w:pPr>
      <w:r>
        <w:rPr>
          <w:rFonts w:hint="eastAsia" w:ascii="等线" w:hAnsi="等线"/>
          <w:szCs w:val="22"/>
        </w:rPr>
        <w:t>应支持电子会计档案的集中存储、分布式存储、集中</w:t>
      </w:r>
      <w:r>
        <w:rPr>
          <w:rFonts w:ascii="等线" w:hAnsi="等线"/>
          <w:szCs w:val="22"/>
        </w:rPr>
        <w:t>+分布式存储，完全在线存储、部分在线存储+部分离线存储</w:t>
      </w:r>
      <w:r>
        <w:rPr>
          <w:rFonts w:hint="eastAsia" w:ascii="等线" w:hAnsi="等线"/>
          <w:szCs w:val="22"/>
        </w:rPr>
        <w:t>等存储方式；</w:t>
      </w:r>
    </w:p>
    <w:p>
      <w:pPr>
        <w:numPr>
          <w:ilvl w:val="0"/>
          <w:numId w:val="16"/>
        </w:numPr>
        <w:rPr>
          <w:rFonts w:ascii="等线" w:hAnsi="等线"/>
          <w:szCs w:val="22"/>
        </w:rPr>
      </w:pPr>
      <w:r>
        <w:rPr>
          <w:rFonts w:hint="eastAsia" w:ascii="等线" w:hAnsi="等线"/>
          <w:szCs w:val="22"/>
        </w:rPr>
        <w:t>应支持可按《电子</w:t>
      </w:r>
      <w:r>
        <w:rPr>
          <w:rFonts w:hint="eastAsia" w:ascii="等线" w:hAnsi="等线"/>
          <w:szCs w:val="22"/>
          <w:lang w:eastAsia="zh-CN"/>
        </w:rPr>
        <w:t>档案</w:t>
      </w:r>
      <w:r>
        <w:rPr>
          <w:rFonts w:hint="eastAsia" w:ascii="等线" w:hAnsi="等线"/>
          <w:szCs w:val="22"/>
        </w:rPr>
        <w:t>移交与接收办法》（档发〔</w:t>
      </w:r>
      <w:r>
        <w:rPr>
          <w:rFonts w:ascii="等线" w:hAnsi="等线"/>
          <w:szCs w:val="22"/>
        </w:rPr>
        <w:t>2012〕7号）和离线存储载体容量进行信息组织，将组织好的</w:t>
      </w:r>
      <w:r>
        <w:rPr>
          <w:rFonts w:hint="eastAsia" w:ascii="等线" w:hAnsi="等线"/>
          <w:szCs w:val="22"/>
        </w:rPr>
        <w:t>会计</w:t>
      </w:r>
      <w:r>
        <w:rPr>
          <w:rFonts w:ascii="等线" w:hAnsi="等线"/>
          <w:szCs w:val="22"/>
        </w:rPr>
        <w:t>档案存至相应的离线存储载体上</w:t>
      </w:r>
      <w:r>
        <w:rPr>
          <w:rFonts w:hint="eastAsia" w:ascii="等线" w:hAnsi="等线"/>
          <w:szCs w:val="22"/>
        </w:rPr>
        <w:t>；</w:t>
      </w:r>
    </w:p>
    <w:p>
      <w:pPr>
        <w:numPr>
          <w:ilvl w:val="0"/>
          <w:numId w:val="16"/>
        </w:numPr>
        <w:rPr>
          <w:rFonts w:ascii="等线" w:hAnsi="等线"/>
          <w:szCs w:val="22"/>
        </w:rPr>
      </w:pPr>
      <w:r>
        <w:rPr>
          <w:rFonts w:hint="eastAsia" w:ascii="等线" w:hAnsi="等线"/>
          <w:szCs w:val="22"/>
        </w:rPr>
        <w:t>应支持文件存储应与数据存储分离，不允许数据库中存储文件字节码。</w:t>
      </w:r>
    </w:p>
    <w:p>
      <w:pPr>
        <w:rPr>
          <w:rFonts w:ascii="等线" w:hAnsi="等线"/>
          <w:szCs w:val="22"/>
        </w:rPr>
      </w:pPr>
    </w:p>
    <w:p>
      <w:pPr>
        <w:keepNext/>
        <w:keepLines/>
        <w:numPr>
          <w:ilvl w:val="0"/>
          <w:numId w:val="0"/>
        </w:numPr>
        <w:spacing w:before="260" w:after="260" w:line="415" w:lineRule="auto"/>
        <w:ind w:leftChars="0"/>
        <w:outlineLvl w:val="1"/>
        <w:rPr>
          <w:rFonts w:ascii="等线 Light" w:hAnsi="等线 Light"/>
          <w:b/>
          <w:bCs/>
          <w:szCs w:val="32"/>
        </w:rPr>
      </w:pPr>
      <w:bookmarkStart w:id="318" w:name="_Toc37676494"/>
      <w:r>
        <w:rPr>
          <w:rFonts w:hint="default" w:ascii="等线 Light" w:hAnsi="等线 Light"/>
          <w:b/>
          <w:bCs/>
          <w:szCs w:val="32"/>
          <w:lang w:val="en"/>
        </w:rPr>
        <w:t>E.4</w:t>
      </w:r>
      <w:r>
        <w:rPr>
          <w:rFonts w:ascii="等线 Light" w:hAnsi="等线 Light"/>
          <w:b/>
          <w:bCs/>
          <w:szCs w:val="32"/>
        </w:rPr>
        <w:t>电子档案保管功能</w:t>
      </w:r>
      <w:bookmarkEnd w:id="318"/>
    </w:p>
    <w:p>
      <w:pPr>
        <w:pStyle w:val="70"/>
        <w:keepNext/>
        <w:keepLines/>
        <w:numPr>
          <w:ilvl w:val="0"/>
          <w:numId w:val="7"/>
        </w:numPr>
        <w:spacing w:before="260" w:after="260" w:line="415" w:lineRule="auto"/>
        <w:ind w:firstLineChars="0"/>
        <w:outlineLvl w:val="2"/>
        <w:rPr>
          <w:rFonts w:hint="eastAsia" w:ascii="等线" w:hAnsi="等线"/>
          <w:b/>
          <w:bCs/>
          <w:vanish/>
          <w:szCs w:val="32"/>
        </w:rPr>
      </w:pPr>
      <w:bookmarkStart w:id="319" w:name="_Toc37676495"/>
      <w:bookmarkEnd w:id="319"/>
      <w:bookmarkStart w:id="320" w:name="_Toc37676497"/>
    </w:p>
    <w:p>
      <w:pPr>
        <w:pStyle w:val="70"/>
        <w:keepNext/>
        <w:keepLines/>
        <w:numPr>
          <w:ilvl w:val="0"/>
          <w:numId w:val="7"/>
        </w:numPr>
        <w:spacing w:before="260" w:after="260" w:line="415" w:lineRule="auto"/>
        <w:ind w:firstLineChars="0"/>
        <w:outlineLvl w:val="2"/>
        <w:rPr>
          <w:rFonts w:hint="eastAsia" w:ascii="等线" w:hAnsi="等线"/>
          <w:b/>
          <w:bCs/>
          <w:vanish/>
          <w:szCs w:val="32"/>
        </w:rPr>
      </w:pPr>
    </w:p>
    <w:p>
      <w:pPr>
        <w:keepNext/>
        <w:keepLines/>
        <w:numPr>
          <w:ilvl w:val="0"/>
          <w:numId w:val="0"/>
        </w:numPr>
        <w:spacing w:before="260" w:after="260" w:line="415" w:lineRule="auto"/>
        <w:ind w:leftChars="0"/>
        <w:outlineLvl w:val="2"/>
        <w:rPr>
          <w:rFonts w:ascii="等线" w:hAnsi="等线"/>
          <w:b/>
          <w:bCs/>
          <w:szCs w:val="32"/>
        </w:rPr>
      </w:pPr>
      <w:r>
        <w:rPr>
          <w:rFonts w:hint="default" w:ascii="等线" w:hAnsi="等线"/>
          <w:b/>
          <w:bCs/>
          <w:szCs w:val="32"/>
          <w:lang w:val="en"/>
        </w:rPr>
        <w:t>E.4.1</w:t>
      </w:r>
      <w:r>
        <w:rPr>
          <w:rFonts w:hint="eastAsia" w:ascii="等线" w:hAnsi="等线"/>
          <w:b/>
          <w:bCs/>
          <w:szCs w:val="32"/>
        </w:rPr>
        <w:t>电子档案长期保存</w:t>
      </w:r>
      <w:bookmarkEnd w:id="320"/>
    </w:p>
    <w:p>
      <w:pPr>
        <w:numPr>
          <w:ilvl w:val="0"/>
          <w:numId w:val="17"/>
        </w:numPr>
        <w:rPr>
          <w:rFonts w:ascii="等线" w:hAnsi="等线"/>
          <w:szCs w:val="22"/>
        </w:rPr>
      </w:pPr>
      <w:r>
        <w:rPr>
          <w:rFonts w:hint="eastAsia" w:ascii="等线" w:hAnsi="等线"/>
          <w:szCs w:val="22"/>
        </w:rPr>
        <w:t>应</w:t>
      </w:r>
      <w:r>
        <w:rPr>
          <w:rFonts w:ascii="等线" w:hAnsi="等线"/>
          <w:szCs w:val="22"/>
        </w:rPr>
        <w:t>支持电子档案存储格式的转换，将存入系统的电子档案转换为符合长期保存要求的存储格式</w:t>
      </w:r>
      <w:r>
        <w:rPr>
          <w:rFonts w:hint="eastAsia" w:ascii="等线" w:hAnsi="等线"/>
          <w:szCs w:val="22"/>
        </w:rPr>
        <w:t>；</w:t>
      </w:r>
    </w:p>
    <w:p>
      <w:pPr>
        <w:numPr>
          <w:ilvl w:val="0"/>
          <w:numId w:val="17"/>
        </w:numPr>
        <w:rPr>
          <w:rFonts w:ascii="等线" w:hAnsi="等线"/>
          <w:szCs w:val="22"/>
        </w:rPr>
      </w:pPr>
      <w:r>
        <w:rPr>
          <w:rFonts w:ascii="等线" w:hAnsi="等线"/>
          <w:szCs w:val="22"/>
        </w:rPr>
        <w:t>应支持对</w:t>
      </w:r>
      <w:r>
        <w:rPr>
          <w:rFonts w:hint="eastAsia" w:ascii="等线" w:hAnsi="等线"/>
          <w:szCs w:val="22"/>
        </w:rPr>
        <w:t>转为</w:t>
      </w:r>
      <w:r>
        <w:rPr>
          <w:rFonts w:ascii="等线" w:hAnsi="等线"/>
          <w:szCs w:val="22"/>
        </w:rPr>
        <w:t>长期保存的电子会计档案元数据及</w:t>
      </w:r>
      <w:r>
        <w:rPr>
          <w:rFonts w:hint="eastAsia" w:ascii="等线" w:hAnsi="等线"/>
          <w:szCs w:val="22"/>
        </w:rPr>
        <w:t>其</w:t>
      </w:r>
      <w:r>
        <w:rPr>
          <w:rFonts w:ascii="等线" w:hAnsi="等线"/>
          <w:szCs w:val="22"/>
        </w:rPr>
        <w:t>文件</w:t>
      </w:r>
      <w:r>
        <w:rPr>
          <w:rFonts w:hint="eastAsia" w:ascii="等线" w:hAnsi="等线"/>
          <w:szCs w:val="22"/>
        </w:rPr>
        <w:t>按照附录F</w:t>
      </w:r>
      <w:r>
        <w:rPr>
          <w:rFonts w:ascii="等线" w:hAnsi="等线"/>
          <w:szCs w:val="22"/>
        </w:rPr>
        <w:t>进行真实性、完整性、安全性、可用性检查</w:t>
      </w:r>
      <w:r>
        <w:rPr>
          <w:rFonts w:hint="eastAsia" w:ascii="等线" w:hAnsi="等线"/>
          <w:szCs w:val="22"/>
        </w:rPr>
        <w:t>；</w:t>
      </w:r>
    </w:p>
    <w:p>
      <w:pPr>
        <w:numPr>
          <w:ilvl w:val="0"/>
          <w:numId w:val="17"/>
        </w:numPr>
        <w:rPr>
          <w:rFonts w:hint="eastAsia" w:ascii="等线" w:hAnsi="等线"/>
          <w:szCs w:val="22"/>
        </w:rPr>
      </w:pPr>
      <w:r>
        <w:rPr>
          <w:rFonts w:ascii="等线" w:hAnsi="等线"/>
          <w:szCs w:val="22"/>
        </w:rPr>
        <w:t>应支持</w:t>
      </w:r>
      <w:r>
        <w:rPr>
          <w:rFonts w:hint="eastAsia" w:ascii="等线" w:hAnsi="等线"/>
          <w:szCs w:val="22"/>
        </w:rPr>
        <w:t>长期保存的电子会计档案有</w:t>
      </w:r>
      <w:r>
        <w:rPr>
          <w:rFonts w:ascii="等线" w:hAnsi="等线"/>
          <w:szCs w:val="22"/>
        </w:rPr>
        <w:t>日志记录，可追踪、审计和审查</w:t>
      </w:r>
      <w:r>
        <w:rPr>
          <w:rFonts w:hint="eastAsia" w:ascii="等线" w:hAnsi="等线"/>
          <w:szCs w:val="22"/>
        </w:rPr>
        <w:t>；</w:t>
      </w:r>
    </w:p>
    <w:p>
      <w:pPr>
        <w:numPr>
          <w:ilvl w:val="0"/>
          <w:numId w:val="17"/>
        </w:numPr>
        <w:rPr>
          <w:rFonts w:hint="eastAsia" w:ascii="等线" w:hAnsi="等线"/>
          <w:szCs w:val="22"/>
        </w:rPr>
      </w:pPr>
      <w:r>
        <w:rPr>
          <w:rFonts w:ascii="等线" w:hAnsi="等线"/>
          <w:szCs w:val="22"/>
        </w:rPr>
        <w:t>系统可按《电子档案移交与接收办法》和离线存储载体容量进行信息组织，将组织好的档案存至相应的离线存储载体上</w:t>
      </w:r>
      <w:r>
        <w:rPr>
          <w:rFonts w:hint="eastAsia" w:ascii="等线" w:hAnsi="等线"/>
          <w:szCs w:val="22"/>
        </w:rPr>
        <w:t>；</w:t>
      </w:r>
    </w:p>
    <w:p>
      <w:pPr>
        <w:numPr>
          <w:ilvl w:val="0"/>
          <w:numId w:val="17"/>
        </w:numPr>
        <w:rPr>
          <w:rFonts w:hint="eastAsia" w:ascii="等线" w:hAnsi="等线"/>
          <w:szCs w:val="22"/>
        </w:rPr>
      </w:pPr>
      <w:r>
        <w:rPr>
          <w:rFonts w:ascii="等线" w:hAnsi="等线"/>
          <w:szCs w:val="22"/>
        </w:rPr>
        <w:t>应支持采用迁移、仿真、封装、检测等</w:t>
      </w:r>
      <w:r>
        <w:rPr>
          <w:rFonts w:hint="eastAsia" w:ascii="等线" w:hAnsi="等线"/>
          <w:szCs w:val="22"/>
        </w:rPr>
        <w:t>方式</w:t>
      </w:r>
      <w:r>
        <w:rPr>
          <w:rFonts w:ascii="等线" w:hAnsi="等线"/>
          <w:szCs w:val="22"/>
        </w:rPr>
        <w:t>保障数字档案信息的长期保管；能对非通用格式电子档案阅读所需要的原始软硬件在系统中进行标识</w:t>
      </w:r>
      <w:r>
        <w:rPr>
          <w:rFonts w:hint="eastAsia" w:ascii="等线" w:hAnsi="等线"/>
          <w:szCs w:val="22"/>
        </w:rPr>
        <w:t>；</w:t>
      </w:r>
    </w:p>
    <w:p>
      <w:pPr>
        <w:numPr>
          <w:ilvl w:val="0"/>
          <w:numId w:val="17"/>
        </w:numPr>
        <w:rPr>
          <w:rFonts w:ascii="等线" w:hAnsi="等线"/>
          <w:szCs w:val="22"/>
        </w:rPr>
      </w:pPr>
      <w:r>
        <w:rPr>
          <w:rFonts w:hint="eastAsia" w:ascii="等线" w:hAnsi="等线"/>
          <w:szCs w:val="22"/>
        </w:rPr>
        <w:t>应支持关键业务实体元数据记录到长期保存的电子会计档案元数据中。</w:t>
      </w:r>
    </w:p>
    <w:p>
      <w:pPr>
        <w:keepNext/>
        <w:keepLines/>
        <w:numPr>
          <w:ilvl w:val="0"/>
          <w:numId w:val="0"/>
        </w:numPr>
        <w:spacing w:before="260" w:after="260" w:line="415" w:lineRule="auto"/>
        <w:ind w:leftChars="0"/>
        <w:outlineLvl w:val="2"/>
        <w:rPr>
          <w:rFonts w:ascii="等线" w:hAnsi="等线"/>
          <w:b/>
          <w:bCs/>
          <w:szCs w:val="32"/>
        </w:rPr>
      </w:pPr>
      <w:bookmarkStart w:id="321" w:name="_Toc37676498"/>
      <w:r>
        <w:rPr>
          <w:rFonts w:hint="default" w:ascii="等线" w:hAnsi="等线"/>
          <w:b/>
          <w:bCs/>
          <w:szCs w:val="32"/>
          <w:lang w:val="en"/>
        </w:rPr>
        <w:t>E.4.2</w:t>
      </w:r>
      <w:r>
        <w:rPr>
          <w:rFonts w:hint="eastAsia" w:ascii="等线" w:hAnsi="等线"/>
          <w:b/>
          <w:bCs/>
          <w:szCs w:val="32"/>
        </w:rPr>
        <w:t>电子档案存储格式转换与信息组织</w:t>
      </w:r>
      <w:bookmarkEnd w:id="321"/>
    </w:p>
    <w:p>
      <w:pPr>
        <w:numPr>
          <w:ilvl w:val="0"/>
          <w:numId w:val="18"/>
        </w:numPr>
        <w:rPr>
          <w:rFonts w:ascii="等线" w:hAnsi="等线"/>
          <w:szCs w:val="22"/>
        </w:rPr>
      </w:pPr>
      <w:r>
        <w:rPr>
          <w:rFonts w:hint="eastAsia" w:ascii="等线" w:hAnsi="等线"/>
          <w:szCs w:val="22"/>
        </w:rPr>
        <w:t>应支持电子会计资料、档案的格式转换功能，如批量格式转换、单个转换、人工定制转换或通过外部解决方案实现转换，并生成符合国家、行业相关标准的用于利用和长期保存的电子会计档案；</w:t>
      </w:r>
    </w:p>
    <w:p>
      <w:pPr>
        <w:numPr>
          <w:ilvl w:val="0"/>
          <w:numId w:val="18"/>
        </w:numPr>
        <w:rPr>
          <w:rFonts w:ascii="等线" w:hAnsi="等线"/>
          <w:szCs w:val="22"/>
        </w:rPr>
      </w:pPr>
      <w:r>
        <w:rPr>
          <w:rFonts w:hint="eastAsia" w:ascii="等线" w:hAnsi="等线"/>
          <w:szCs w:val="22"/>
        </w:rPr>
        <w:t>应支持能够将格式转换结束的电子会计档案个别或批量存储至存储载体；</w:t>
      </w:r>
    </w:p>
    <w:p>
      <w:pPr>
        <w:numPr>
          <w:ilvl w:val="0"/>
          <w:numId w:val="18"/>
        </w:numPr>
        <w:rPr>
          <w:rFonts w:ascii="等线" w:hAnsi="等线"/>
          <w:szCs w:val="22"/>
        </w:rPr>
      </w:pPr>
      <w:r>
        <w:rPr>
          <w:rFonts w:hint="eastAsia" w:ascii="等线" w:hAnsi="等线"/>
          <w:szCs w:val="22"/>
        </w:rPr>
        <w:t>应支持对格式转换过程中发生的问题或错误，进行提示或发出警告，并记录未转换成功的相关信息；</w:t>
      </w:r>
    </w:p>
    <w:p>
      <w:pPr>
        <w:numPr>
          <w:ilvl w:val="0"/>
          <w:numId w:val="18"/>
        </w:numPr>
        <w:rPr>
          <w:rFonts w:ascii="等线" w:hAnsi="等线"/>
          <w:szCs w:val="22"/>
        </w:rPr>
      </w:pPr>
      <w:r>
        <w:rPr>
          <w:rFonts w:hint="eastAsia" w:ascii="等线" w:hAnsi="等线"/>
          <w:szCs w:val="22"/>
        </w:rPr>
        <w:t>应提供对格式转换前后的电子会计档案进行真实、完整、可用的检测功能；</w:t>
      </w:r>
    </w:p>
    <w:p>
      <w:pPr>
        <w:numPr>
          <w:ilvl w:val="0"/>
          <w:numId w:val="18"/>
        </w:numPr>
        <w:rPr>
          <w:rFonts w:ascii="等线" w:hAnsi="等线"/>
          <w:szCs w:val="22"/>
        </w:rPr>
      </w:pPr>
      <w:r>
        <w:rPr>
          <w:rFonts w:hint="eastAsia" w:ascii="等线" w:hAnsi="等线"/>
          <w:szCs w:val="22"/>
        </w:rPr>
        <w:t>应支持在格式转换过程中添加可记录电子档案原始状态的信息。</w:t>
      </w:r>
    </w:p>
    <w:p>
      <w:pPr>
        <w:rPr>
          <w:rFonts w:ascii="等线" w:hAnsi="等线"/>
          <w:b/>
          <w:bCs/>
          <w:szCs w:val="22"/>
        </w:rPr>
      </w:pPr>
    </w:p>
    <w:p>
      <w:pPr>
        <w:keepNext/>
        <w:keepLines/>
        <w:numPr>
          <w:ilvl w:val="0"/>
          <w:numId w:val="0"/>
        </w:numPr>
        <w:spacing w:before="260" w:after="260" w:line="415" w:lineRule="auto"/>
        <w:ind w:leftChars="0"/>
        <w:outlineLvl w:val="2"/>
        <w:rPr>
          <w:rFonts w:ascii="等线" w:hAnsi="等线"/>
          <w:b/>
          <w:bCs/>
          <w:szCs w:val="32"/>
        </w:rPr>
      </w:pPr>
      <w:bookmarkStart w:id="322" w:name="_Toc37676499"/>
      <w:r>
        <w:rPr>
          <w:rFonts w:hint="default" w:ascii="等线" w:hAnsi="等线"/>
          <w:b/>
          <w:bCs/>
          <w:szCs w:val="32"/>
          <w:lang w:val="en"/>
        </w:rPr>
        <w:t>E.4.3</w:t>
      </w:r>
      <w:r>
        <w:rPr>
          <w:rFonts w:hint="eastAsia" w:ascii="等线" w:hAnsi="等线"/>
          <w:b/>
          <w:bCs/>
          <w:szCs w:val="32"/>
        </w:rPr>
        <w:t>备份</w:t>
      </w:r>
      <w:bookmarkEnd w:id="322"/>
    </w:p>
    <w:p>
      <w:pPr>
        <w:numPr>
          <w:ilvl w:val="0"/>
          <w:numId w:val="19"/>
        </w:numPr>
        <w:rPr>
          <w:rFonts w:ascii="等线" w:hAnsi="等线"/>
          <w:szCs w:val="22"/>
        </w:rPr>
      </w:pPr>
      <w:r>
        <w:rPr>
          <w:rFonts w:hint="eastAsia" w:ascii="等线" w:hAnsi="等线"/>
          <w:szCs w:val="22"/>
        </w:rPr>
        <w:t>应支持对电子会计档案的元数据、全文数据库进行完全、增量、差分备份等功能；</w:t>
      </w:r>
    </w:p>
    <w:p>
      <w:pPr>
        <w:numPr>
          <w:ilvl w:val="0"/>
          <w:numId w:val="19"/>
        </w:numPr>
        <w:rPr>
          <w:rFonts w:ascii="等线" w:hAnsi="等线"/>
          <w:szCs w:val="22"/>
        </w:rPr>
      </w:pPr>
      <w:r>
        <w:rPr>
          <w:rFonts w:hint="eastAsia" w:ascii="等线" w:hAnsi="等线"/>
          <w:szCs w:val="22"/>
        </w:rPr>
        <w:t>应支持对系统中出现故障后恢复电子会计档案全文数据及其元数据；</w:t>
      </w:r>
    </w:p>
    <w:p>
      <w:pPr>
        <w:numPr>
          <w:ilvl w:val="0"/>
          <w:numId w:val="19"/>
        </w:numPr>
        <w:rPr>
          <w:rFonts w:ascii="等线" w:hAnsi="等线"/>
          <w:szCs w:val="22"/>
        </w:rPr>
      </w:pPr>
      <w:r>
        <w:rPr>
          <w:rFonts w:hint="eastAsia" w:ascii="等线" w:hAnsi="等线"/>
          <w:szCs w:val="22"/>
        </w:rPr>
        <w:t>应具备备份、恢复策略的配置和维护功能；</w:t>
      </w:r>
    </w:p>
    <w:p>
      <w:pPr>
        <w:numPr>
          <w:ilvl w:val="0"/>
          <w:numId w:val="19"/>
        </w:numPr>
        <w:rPr>
          <w:rFonts w:ascii="等线" w:hAnsi="等线"/>
          <w:szCs w:val="22"/>
        </w:rPr>
      </w:pPr>
      <w:r>
        <w:rPr>
          <w:rFonts w:hint="eastAsia" w:ascii="等线" w:hAnsi="等线"/>
          <w:szCs w:val="22"/>
        </w:rPr>
        <w:t>应对备份的数据、介质和信息进行登记、检测与管理；</w:t>
      </w:r>
    </w:p>
    <w:p>
      <w:pPr>
        <w:numPr>
          <w:ilvl w:val="0"/>
          <w:numId w:val="19"/>
        </w:numPr>
        <w:rPr>
          <w:rFonts w:ascii="等线" w:hAnsi="等线"/>
          <w:szCs w:val="22"/>
        </w:rPr>
      </w:pPr>
      <w:r>
        <w:rPr>
          <w:rFonts w:hint="eastAsia" w:ascii="等线" w:hAnsi="等线"/>
          <w:szCs w:val="22"/>
        </w:rPr>
        <w:t>应记录备份、恢复的业务过程日志信息。</w:t>
      </w:r>
    </w:p>
    <w:p>
      <w:pPr>
        <w:keepNext/>
        <w:keepLines/>
        <w:numPr>
          <w:ilvl w:val="0"/>
          <w:numId w:val="0"/>
        </w:numPr>
        <w:spacing w:before="260" w:after="260" w:line="415" w:lineRule="auto"/>
        <w:ind w:leftChars="0"/>
        <w:outlineLvl w:val="2"/>
        <w:rPr>
          <w:rFonts w:ascii="等线" w:hAnsi="等线"/>
          <w:b/>
          <w:bCs/>
          <w:szCs w:val="32"/>
        </w:rPr>
      </w:pPr>
      <w:bookmarkStart w:id="323" w:name="_Toc37676500"/>
      <w:r>
        <w:rPr>
          <w:rFonts w:hint="default" w:ascii="等线" w:hAnsi="等线"/>
          <w:b/>
          <w:bCs/>
          <w:szCs w:val="32"/>
          <w:lang w:val="en"/>
        </w:rPr>
        <w:t>E.4.4</w:t>
      </w:r>
      <w:r>
        <w:rPr>
          <w:rFonts w:hint="eastAsia" w:ascii="等线" w:hAnsi="等线"/>
          <w:b/>
          <w:bCs/>
          <w:szCs w:val="32"/>
        </w:rPr>
        <w:t>定期鉴定</w:t>
      </w:r>
      <w:bookmarkEnd w:id="323"/>
    </w:p>
    <w:p>
      <w:pPr>
        <w:numPr>
          <w:ilvl w:val="0"/>
          <w:numId w:val="20"/>
        </w:numPr>
        <w:rPr>
          <w:rFonts w:ascii="等线" w:hAnsi="等线"/>
          <w:szCs w:val="22"/>
        </w:rPr>
      </w:pPr>
      <w:r>
        <w:rPr>
          <w:rFonts w:hint="eastAsia" w:ascii="等线" w:hAnsi="等线"/>
          <w:szCs w:val="22"/>
        </w:rPr>
        <w:t>应支持对电子会计档案鉴定与处置的定义、配置和管理功能，按照电子会计档案的处置规则，建立和配置鉴定与处置条件、策略和流程；</w:t>
      </w:r>
    </w:p>
    <w:p>
      <w:pPr>
        <w:numPr>
          <w:ilvl w:val="0"/>
          <w:numId w:val="20"/>
        </w:numPr>
        <w:rPr>
          <w:rFonts w:ascii="等线" w:hAnsi="等线"/>
          <w:szCs w:val="22"/>
        </w:rPr>
      </w:pPr>
      <w:r>
        <w:rPr>
          <w:rFonts w:hint="eastAsia" w:ascii="等线" w:hAnsi="等线"/>
          <w:szCs w:val="22"/>
        </w:rPr>
        <w:t>应支持会计档案保管期限到期自动提醒功能；</w:t>
      </w:r>
    </w:p>
    <w:p>
      <w:pPr>
        <w:numPr>
          <w:ilvl w:val="0"/>
          <w:numId w:val="20"/>
        </w:numPr>
        <w:rPr>
          <w:rFonts w:ascii="等线" w:hAnsi="等线"/>
          <w:szCs w:val="22"/>
        </w:rPr>
      </w:pPr>
      <w:r>
        <w:rPr>
          <w:rFonts w:hint="eastAsia" w:ascii="等线" w:hAnsi="等线"/>
          <w:szCs w:val="22"/>
        </w:rPr>
        <w:t>应支持根据鉴定意见调整电子会计档案</w:t>
      </w:r>
      <w:r>
        <w:rPr>
          <w:rFonts w:hint="eastAsia" w:ascii="等线" w:hAnsi="等线"/>
          <w:szCs w:val="22"/>
          <w:lang w:eastAsia="zh-CN"/>
        </w:rPr>
        <w:t>保</w:t>
      </w:r>
      <w:r>
        <w:rPr>
          <w:rFonts w:hint="eastAsia" w:ascii="等线" w:hAnsi="等线"/>
          <w:szCs w:val="22"/>
        </w:rPr>
        <w:t>管期限、密级等功能；</w:t>
      </w:r>
    </w:p>
    <w:p>
      <w:pPr>
        <w:numPr>
          <w:ilvl w:val="0"/>
          <w:numId w:val="20"/>
        </w:numPr>
        <w:rPr>
          <w:rFonts w:ascii="等线" w:hAnsi="等线"/>
          <w:szCs w:val="22"/>
        </w:rPr>
      </w:pPr>
      <w:r>
        <w:rPr>
          <w:rFonts w:hint="eastAsia" w:ascii="等线" w:hAnsi="等线"/>
          <w:szCs w:val="22"/>
        </w:rPr>
        <w:t>系统应保存鉴定与处置的过程信息，如记录鉴定情况、责任人员、意见和时间等信息，可统计查询；</w:t>
      </w:r>
    </w:p>
    <w:p>
      <w:pPr>
        <w:numPr>
          <w:ilvl w:val="0"/>
          <w:numId w:val="20"/>
        </w:numPr>
        <w:rPr>
          <w:rFonts w:ascii="等线" w:hAnsi="等线"/>
          <w:szCs w:val="22"/>
        </w:rPr>
      </w:pPr>
      <w:r>
        <w:rPr>
          <w:rFonts w:hint="eastAsia" w:ascii="等线" w:hAnsi="等线"/>
          <w:szCs w:val="22"/>
        </w:rPr>
        <w:t>鉴定行为应记录日志，关键操作信息应记入电子会计档案元数据中，并可跟踪审查。</w:t>
      </w:r>
    </w:p>
    <w:p>
      <w:pPr>
        <w:ind w:left="420"/>
        <w:rPr>
          <w:rFonts w:ascii="等线" w:hAnsi="等线"/>
          <w:szCs w:val="22"/>
        </w:rPr>
      </w:pPr>
    </w:p>
    <w:p>
      <w:pPr>
        <w:keepNext/>
        <w:keepLines/>
        <w:numPr>
          <w:ilvl w:val="0"/>
          <w:numId w:val="0"/>
        </w:numPr>
        <w:spacing w:before="260" w:after="260" w:line="415" w:lineRule="auto"/>
        <w:ind w:leftChars="0"/>
        <w:outlineLvl w:val="2"/>
        <w:rPr>
          <w:rFonts w:ascii="等线" w:hAnsi="等线"/>
          <w:b/>
          <w:bCs/>
          <w:szCs w:val="32"/>
        </w:rPr>
      </w:pPr>
      <w:bookmarkStart w:id="324" w:name="_Toc37676501"/>
      <w:r>
        <w:rPr>
          <w:rFonts w:hint="default" w:ascii="等线" w:hAnsi="等线"/>
          <w:b/>
          <w:bCs/>
          <w:szCs w:val="32"/>
          <w:lang w:val="en"/>
        </w:rPr>
        <w:t>E.4.5</w:t>
      </w:r>
      <w:r>
        <w:rPr>
          <w:rFonts w:hint="eastAsia" w:ascii="等线" w:hAnsi="等线"/>
          <w:b/>
          <w:bCs/>
          <w:szCs w:val="32"/>
        </w:rPr>
        <w:t>销毁管理</w:t>
      </w:r>
      <w:bookmarkEnd w:id="324"/>
    </w:p>
    <w:p>
      <w:pPr>
        <w:numPr>
          <w:ilvl w:val="0"/>
          <w:numId w:val="21"/>
        </w:numPr>
        <w:rPr>
          <w:rFonts w:ascii="等线" w:hAnsi="等线"/>
          <w:szCs w:val="22"/>
        </w:rPr>
      </w:pPr>
      <w:r>
        <w:rPr>
          <w:rFonts w:hint="eastAsia" w:ascii="等线" w:hAnsi="等线"/>
          <w:szCs w:val="22"/>
        </w:rPr>
        <w:t>应支持对需要销毁的会计档案进行销毁申请、审批等流程定制；</w:t>
      </w:r>
    </w:p>
    <w:p>
      <w:pPr>
        <w:numPr>
          <w:ilvl w:val="0"/>
          <w:numId w:val="21"/>
        </w:numPr>
        <w:rPr>
          <w:rFonts w:ascii="等线" w:hAnsi="等线"/>
          <w:szCs w:val="22"/>
        </w:rPr>
      </w:pPr>
      <w:r>
        <w:rPr>
          <w:rFonts w:hint="eastAsia" w:ascii="等线" w:hAnsi="等线"/>
          <w:szCs w:val="22"/>
        </w:rPr>
        <w:t>应支持从在线存储设备、异地容灾备份系统中彻底删除被销毁的电子会计档案，同时应留存已销毁电子会计档案的元数据信息，并在管理过程元数据、日志中自动记录鉴定销毁活动；</w:t>
      </w:r>
    </w:p>
    <w:p>
      <w:pPr>
        <w:numPr>
          <w:ilvl w:val="0"/>
          <w:numId w:val="21"/>
        </w:numPr>
        <w:rPr>
          <w:rFonts w:ascii="等线" w:hAnsi="等线"/>
          <w:szCs w:val="22"/>
        </w:rPr>
      </w:pPr>
      <w:r>
        <w:rPr>
          <w:rFonts w:hint="eastAsia" w:ascii="等线" w:hAnsi="等线"/>
          <w:szCs w:val="22"/>
        </w:rPr>
        <w:t>宜将销毁档案的相关记录单独建立数据库进行安全保存，与当前有效的电子会计档案进行分别管理；</w:t>
      </w:r>
    </w:p>
    <w:p>
      <w:pPr>
        <w:numPr>
          <w:ilvl w:val="0"/>
          <w:numId w:val="21"/>
        </w:numPr>
        <w:rPr>
          <w:rFonts w:ascii="等线" w:hAnsi="等线"/>
          <w:szCs w:val="22"/>
        </w:rPr>
      </w:pPr>
      <w:r>
        <w:rPr>
          <w:rFonts w:hint="eastAsia" w:ascii="等线" w:hAnsi="等线"/>
          <w:szCs w:val="22"/>
        </w:rPr>
        <w:t>应支持对销毁的电子会计档案应编制 《电子会计档案销毁清册》 ，记录文件名称、数量、销毁原因等信息。</w:t>
      </w:r>
    </w:p>
    <w:p>
      <w:pPr>
        <w:ind w:left="840"/>
      </w:pPr>
    </w:p>
    <w:p>
      <w:pPr>
        <w:keepNext/>
        <w:keepLines/>
        <w:numPr>
          <w:ilvl w:val="0"/>
          <w:numId w:val="0"/>
        </w:numPr>
        <w:spacing w:before="260" w:after="260" w:line="415" w:lineRule="auto"/>
        <w:ind w:leftChars="0"/>
        <w:outlineLvl w:val="2"/>
        <w:rPr>
          <w:rFonts w:ascii="等线" w:hAnsi="等线"/>
          <w:b/>
          <w:bCs/>
          <w:szCs w:val="32"/>
        </w:rPr>
      </w:pPr>
      <w:bookmarkStart w:id="325" w:name="_Toc37676502"/>
      <w:r>
        <w:rPr>
          <w:rFonts w:hint="default" w:ascii="等线" w:hAnsi="等线"/>
          <w:b/>
          <w:bCs/>
          <w:szCs w:val="32"/>
          <w:lang w:val="en"/>
        </w:rPr>
        <w:t>E.4.6</w:t>
      </w:r>
      <w:r>
        <w:rPr>
          <w:rFonts w:hint="eastAsia" w:ascii="等线" w:hAnsi="等线"/>
          <w:b/>
          <w:bCs/>
          <w:szCs w:val="32"/>
        </w:rPr>
        <w:t>移交</w:t>
      </w:r>
      <w:bookmarkEnd w:id="325"/>
    </w:p>
    <w:p>
      <w:pPr>
        <w:numPr>
          <w:ilvl w:val="0"/>
          <w:numId w:val="22"/>
        </w:numPr>
        <w:rPr>
          <w:rFonts w:ascii="等线" w:hAnsi="等线"/>
          <w:szCs w:val="22"/>
        </w:rPr>
      </w:pPr>
      <w:r>
        <w:rPr>
          <w:rFonts w:hint="eastAsia" w:ascii="等线" w:hAnsi="等线"/>
          <w:szCs w:val="22"/>
        </w:rPr>
        <w:t>应支持电子会计档案到期移交提醒的功能；</w:t>
      </w:r>
    </w:p>
    <w:p>
      <w:pPr>
        <w:numPr>
          <w:ilvl w:val="0"/>
          <w:numId w:val="22"/>
        </w:numPr>
        <w:rPr>
          <w:rFonts w:ascii="等线" w:hAnsi="等线"/>
          <w:szCs w:val="22"/>
        </w:rPr>
      </w:pPr>
      <w:r>
        <w:rPr>
          <w:rFonts w:hint="eastAsia" w:ascii="等线" w:hAnsi="等线"/>
          <w:szCs w:val="22"/>
        </w:rPr>
        <w:t>应支持电子会计档案移交的在线申请、审批等流程设置；</w:t>
      </w:r>
    </w:p>
    <w:p>
      <w:pPr>
        <w:numPr>
          <w:ilvl w:val="0"/>
          <w:numId w:val="22"/>
        </w:numPr>
        <w:rPr>
          <w:rFonts w:ascii="等线" w:hAnsi="等线"/>
          <w:szCs w:val="22"/>
        </w:rPr>
      </w:pPr>
      <w:r>
        <w:rPr>
          <w:rFonts w:hint="eastAsia" w:ascii="等线" w:hAnsi="等线"/>
          <w:szCs w:val="22"/>
        </w:rPr>
        <w:t>应支持移交接收前对电子会计档案进行真实性、完整性、可用性、安全性检测；</w:t>
      </w:r>
    </w:p>
    <w:p>
      <w:pPr>
        <w:numPr>
          <w:ilvl w:val="0"/>
          <w:numId w:val="22"/>
        </w:numPr>
        <w:rPr>
          <w:rFonts w:ascii="等线" w:hAnsi="等线"/>
          <w:szCs w:val="22"/>
        </w:rPr>
      </w:pPr>
      <w:r>
        <w:rPr>
          <w:rFonts w:hint="eastAsia" w:ascii="等线" w:hAnsi="等线"/>
          <w:szCs w:val="22"/>
        </w:rPr>
        <w:t>应支持对于符合移交要求的电子会计档案移交完整会计档案信息包，移交过程中产生的关键业务信息需记录到档案元数据中；</w:t>
      </w:r>
    </w:p>
    <w:p>
      <w:pPr>
        <w:numPr>
          <w:ilvl w:val="0"/>
          <w:numId w:val="22"/>
        </w:numPr>
        <w:rPr>
          <w:rFonts w:ascii="等线" w:hAnsi="等线"/>
          <w:szCs w:val="22"/>
        </w:rPr>
      </w:pPr>
      <w:r>
        <w:rPr>
          <w:rFonts w:hint="eastAsia" w:ascii="等线" w:hAnsi="等线"/>
          <w:szCs w:val="22"/>
        </w:rPr>
        <w:t>应支持档案移交接收后形成《会计档案移交清册》；</w:t>
      </w:r>
    </w:p>
    <w:p>
      <w:pPr>
        <w:numPr>
          <w:ilvl w:val="0"/>
          <w:numId w:val="22"/>
        </w:numPr>
        <w:rPr>
          <w:rFonts w:ascii="等线" w:hAnsi="等线"/>
          <w:szCs w:val="22"/>
        </w:rPr>
      </w:pPr>
      <w:r>
        <w:rPr>
          <w:rFonts w:hint="eastAsia" w:ascii="等线" w:hAnsi="等线"/>
          <w:szCs w:val="22"/>
        </w:rPr>
        <w:t>应支持移交过程中的业务操作记录日志，</w:t>
      </w:r>
      <w:r>
        <w:rPr>
          <w:rFonts w:hint="eastAsia" w:ascii="等线" w:hAnsi="等线" w:cs="宋体"/>
          <w:szCs w:val="21"/>
        </w:rPr>
        <w:t>可跟踪审查。</w:t>
      </w:r>
    </w:p>
    <w:p>
      <w:pPr>
        <w:keepNext/>
        <w:keepLines/>
        <w:numPr>
          <w:ilvl w:val="0"/>
          <w:numId w:val="0"/>
        </w:numPr>
        <w:spacing w:before="260" w:after="260" w:line="415" w:lineRule="auto"/>
        <w:ind w:leftChars="0"/>
        <w:outlineLvl w:val="2"/>
        <w:rPr>
          <w:rFonts w:ascii="等线" w:hAnsi="等线"/>
          <w:b/>
          <w:bCs/>
          <w:szCs w:val="32"/>
        </w:rPr>
      </w:pPr>
      <w:bookmarkStart w:id="326" w:name="_Toc37676503"/>
      <w:r>
        <w:rPr>
          <w:rFonts w:hint="default" w:ascii="等线" w:hAnsi="等线"/>
          <w:b/>
          <w:bCs/>
          <w:szCs w:val="32"/>
          <w:lang w:val="en"/>
        </w:rPr>
        <w:t>E.4.7</w:t>
      </w:r>
      <w:r>
        <w:rPr>
          <w:rFonts w:hint="eastAsia" w:ascii="等线" w:hAnsi="等线"/>
          <w:b/>
          <w:bCs/>
          <w:szCs w:val="32"/>
        </w:rPr>
        <w:t>介质管理</w:t>
      </w:r>
      <w:bookmarkEnd w:id="326"/>
    </w:p>
    <w:p>
      <w:pPr>
        <w:numPr>
          <w:ilvl w:val="0"/>
          <w:numId w:val="23"/>
        </w:numPr>
        <w:rPr>
          <w:rFonts w:ascii="等线" w:hAnsi="等线"/>
          <w:szCs w:val="22"/>
        </w:rPr>
      </w:pPr>
      <w:r>
        <w:rPr>
          <w:rFonts w:hint="eastAsia" w:ascii="等线" w:hAnsi="等线"/>
          <w:szCs w:val="22"/>
        </w:rPr>
        <w:t>应支持对存放电子会计档案存储介质的统一管理，系统管理员可根据介质保管的实际需求为会计档案设置相应的存储介质；</w:t>
      </w:r>
    </w:p>
    <w:p>
      <w:pPr>
        <w:numPr>
          <w:ilvl w:val="0"/>
          <w:numId w:val="23"/>
        </w:numPr>
        <w:rPr>
          <w:rFonts w:ascii="等线" w:hAnsi="等线"/>
          <w:szCs w:val="22"/>
        </w:rPr>
      </w:pPr>
      <w:r>
        <w:rPr>
          <w:rFonts w:hint="eastAsia" w:ascii="等线" w:hAnsi="等线"/>
          <w:szCs w:val="22"/>
        </w:rPr>
        <w:t>宜支持介质预警功能，当存储介质不稳定、存储空间不足等情况出现时，通知系统管理员。</w:t>
      </w:r>
    </w:p>
    <w:p>
      <w:pPr>
        <w:keepNext/>
        <w:keepLines/>
        <w:numPr>
          <w:ilvl w:val="0"/>
          <w:numId w:val="0"/>
        </w:numPr>
        <w:spacing w:before="260" w:after="260" w:line="415" w:lineRule="auto"/>
        <w:ind w:leftChars="0"/>
        <w:outlineLvl w:val="1"/>
        <w:rPr>
          <w:rFonts w:ascii="等线 Light" w:hAnsi="等线 Light"/>
          <w:b/>
          <w:bCs/>
          <w:szCs w:val="32"/>
        </w:rPr>
      </w:pPr>
      <w:bookmarkStart w:id="327" w:name="_Toc37676504"/>
      <w:r>
        <w:rPr>
          <w:rFonts w:hint="default" w:ascii="等线 Light" w:hAnsi="等线 Light"/>
          <w:b/>
          <w:bCs/>
          <w:szCs w:val="32"/>
          <w:lang w:val="en"/>
        </w:rPr>
        <w:t>E.5</w:t>
      </w:r>
      <w:r>
        <w:rPr>
          <w:rFonts w:ascii="等线 Light" w:hAnsi="等线 Light"/>
          <w:b/>
          <w:bCs/>
          <w:szCs w:val="32"/>
        </w:rPr>
        <w:t>统计与报表</w:t>
      </w:r>
      <w:bookmarkEnd w:id="327"/>
    </w:p>
    <w:p>
      <w:pPr>
        <w:numPr>
          <w:ilvl w:val="0"/>
          <w:numId w:val="24"/>
        </w:numPr>
        <w:rPr>
          <w:rFonts w:ascii="等线" w:hAnsi="等线"/>
          <w:szCs w:val="22"/>
        </w:rPr>
      </w:pPr>
      <w:r>
        <w:rPr>
          <w:rFonts w:hint="eastAsia" w:ascii="等线" w:hAnsi="等线"/>
          <w:szCs w:val="22"/>
        </w:rPr>
        <w:t>应支持对电子会计档案数量与容量的统计功能，可按照档案的会计分类、文件格式、时间等维度进行统计；</w:t>
      </w:r>
    </w:p>
    <w:p>
      <w:pPr>
        <w:numPr>
          <w:ilvl w:val="0"/>
          <w:numId w:val="24"/>
        </w:numPr>
        <w:rPr>
          <w:rFonts w:ascii="等线" w:hAnsi="等线"/>
          <w:szCs w:val="22"/>
        </w:rPr>
      </w:pPr>
      <w:r>
        <w:rPr>
          <w:rFonts w:hint="eastAsia" w:ascii="等线" w:hAnsi="等线"/>
          <w:szCs w:val="22"/>
        </w:rPr>
        <w:t>应支持对一定时间期限内的电子会计档案的接收、整理、保存、鉴定、利用等关键业务工作情况进行统计的功能；</w:t>
      </w:r>
    </w:p>
    <w:p>
      <w:pPr>
        <w:numPr>
          <w:ilvl w:val="0"/>
          <w:numId w:val="24"/>
        </w:numPr>
        <w:rPr>
          <w:rFonts w:ascii="等线" w:hAnsi="等线"/>
          <w:szCs w:val="22"/>
        </w:rPr>
      </w:pPr>
      <w:r>
        <w:rPr>
          <w:rFonts w:hint="eastAsia" w:ascii="等线" w:hAnsi="等线"/>
          <w:szCs w:val="22"/>
        </w:rPr>
        <w:t>应支持统计结果的输出及打印；</w:t>
      </w:r>
    </w:p>
    <w:p>
      <w:pPr>
        <w:numPr>
          <w:ilvl w:val="0"/>
          <w:numId w:val="24"/>
        </w:numPr>
        <w:rPr>
          <w:rFonts w:ascii="等线" w:hAnsi="等线"/>
          <w:szCs w:val="22"/>
        </w:rPr>
      </w:pPr>
      <w:r>
        <w:rPr>
          <w:rFonts w:hint="eastAsia" w:ascii="等线" w:hAnsi="等线"/>
          <w:szCs w:val="22"/>
        </w:rPr>
        <w:t>宜支持内置常用电子档案工作统计报表模版，并能够基于模板照输入条件生成统计结果；</w:t>
      </w:r>
    </w:p>
    <w:p>
      <w:pPr>
        <w:numPr>
          <w:ilvl w:val="0"/>
          <w:numId w:val="24"/>
        </w:numPr>
        <w:rPr>
          <w:rFonts w:ascii="等线" w:hAnsi="等线"/>
          <w:szCs w:val="22"/>
        </w:rPr>
      </w:pPr>
      <w:r>
        <w:rPr>
          <w:rFonts w:hint="eastAsia" w:ascii="等线" w:hAnsi="等线"/>
          <w:szCs w:val="22"/>
        </w:rPr>
        <w:t>宜支持</w:t>
      </w:r>
      <w:r>
        <w:rPr>
          <w:rFonts w:hint="eastAsia" w:hAnsi="等线"/>
        </w:rPr>
        <w:t>报表制作工具，支持用户自定义统计报表。</w:t>
      </w:r>
    </w:p>
    <w:p>
      <w:pPr>
        <w:keepNext/>
        <w:keepLines/>
        <w:numPr>
          <w:ilvl w:val="0"/>
          <w:numId w:val="0"/>
        </w:numPr>
        <w:spacing w:before="260" w:after="260" w:line="415" w:lineRule="auto"/>
        <w:ind w:leftChars="0"/>
        <w:outlineLvl w:val="1"/>
        <w:rPr>
          <w:rFonts w:ascii="等线 Light" w:hAnsi="等线 Light"/>
          <w:b/>
          <w:bCs/>
          <w:szCs w:val="32"/>
        </w:rPr>
      </w:pPr>
      <w:bookmarkStart w:id="328" w:name="_Toc37676505"/>
      <w:r>
        <w:rPr>
          <w:rFonts w:hint="default" w:ascii="等线 Light" w:hAnsi="等线 Light"/>
          <w:b/>
          <w:bCs/>
          <w:szCs w:val="32"/>
          <w:lang w:val="en"/>
        </w:rPr>
        <w:t>E.6</w:t>
      </w:r>
      <w:r>
        <w:rPr>
          <w:rFonts w:ascii="等线 Light" w:hAnsi="等线 Light"/>
          <w:b/>
          <w:bCs/>
          <w:szCs w:val="32"/>
        </w:rPr>
        <w:t>利用功能</w:t>
      </w:r>
      <w:bookmarkEnd w:id="328"/>
    </w:p>
    <w:p>
      <w:pPr>
        <w:pStyle w:val="70"/>
        <w:keepNext/>
        <w:keepLines/>
        <w:numPr>
          <w:ilvl w:val="0"/>
          <w:numId w:val="7"/>
        </w:numPr>
        <w:spacing w:before="260" w:after="260" w:line="415" w:lineRule="auto"/>
        <w:ind w:firstLineChars="0"/>
        <w:outlineLvl w:val="2"/>
        <w:rPr>
          <w:rFonts w:hint="eastAsia" w:ascii="等线" w:hAnsi="等线"/>
          <w:b/>
          <w:bCs/>
          <w:vanish/>
          <w:szCs w:val="32"/>
        </w:rPr>
      </w:pPr>
      <w:bookmarkStart w:id="329" w:name="_Toc37676506"/>
      <w:bookmarkEnd w:id="329"/>
      <w:bookmarkStart w:id="330" w:name="_Toc37676508"/>
    </w:p>
    <w:p>
      <w:pPr>
        <w:pStyle w:val="70"/>
        <w:keepNext/>
        <w:keepLines/>
        <w:numPr>
          <w:ilvl w:val="0"/>
          <w:numId w:val="7"/>
        </w:numPr>
        <w:spacing w:before="260" w:after="260" w:line="415" w:lineRule="auto"/>
        <w:ind w:firstLineChars="0"/>
        <w:outlineLvl w:val="2"/>
        <w:rPr>
          <w:rFonts w:hint="eastAsia" w:ascii="等线" w:hAnsi="等线"/>
          <w:b/>
          <w:bCs/>
          <w:vanish/>
          <w:szCs w:val="32"/>
        </w:rPr>
      </w:pPr>
    </w:p>
    <w:p>
      <w:pPr>
        <w:keepNext/>
        <w:keepLines/>
        <w:numPr>
          <w:ilvl w:val="0"/>
          <w:numId w:val="0"/>
        </w:numPr>
        <w:spacing w:before="260" w:after="260" w:line="415" w:lineRule="auto"/>
        <w:ind w:leftChars="0"/>
        <w:outlineLvl w:val="2"/>
        <w:rPr>
          <w:rFonts w:ascii="等线" w:hAnsi="等线"/>
          <w:b/>
          <w:bCs/>
          <w:szCs w:val="32"/>
        </w:rPr>
      </w:pPr>
      <w:r>
        <w:rPr>
          <w:rFonts w:hint="default" w:ascii="等线" w:hAnsi="等线"/>
          <w:b/>
          <w:bCs/>
          <w:szCs w:val="32"/>
          <w:lang w:val="en"/>
        </w:rPr>
        <w:t>E.6.1</w:t>
      </w:r>
      <w:r>
        <w:rPr>
          <w:rFonts w:hint="eastAsia" w:ascii="等线" w:hAnsi="等线"/>
          <w:b/>
          <w:bCs/>
          <w:szCs w:val="32"/>
        </w:rPr>
        <w:t>检索查询</w:t>
      </w:r>
      <w:bookmarkEnd w:id="330"/>
    </w:p>
    <w:p>
      <w:pPr>
        <w:numPr>
          <w:ilvl w:val="0"/>
          <w:numId w:val="25"/>
        </w:numPr>
        <w:rPr>
          <w:rFonts w:ascii="等线" w:hAnsi="等线"/>
          <w:szCs w:val="22"/>
        </w:rPr>
      </w:pPr>
      <w:r>
        <w:rPr>
          <w:rFonts w:hint="eastAsia" w:ascii="等线" w:hAnsi="等线"/>
          <w:szCs w:val="22"/>
        </w:rPr>
        <w:t>应支持按会计分类检索档案，具备模糊检索、组合检索、筛选检索、关联检索等多种检索方式；</w:t>
      </w:r>
    </w:p>
    <w:p>
      <w:pPr>
        <w:numPr>
          <w:ilvl w:val="0"/>
          <w:numId w:val="25"/>
        </w:numPr>
        <w:rPr>
          <w:rFonts w:ascii="等线" w:hAnsi="等线"/>
          <w:szCs w:val="22"/>
        </w:rPr>
      </w:pPr>
      <w:r>
        <w:rPr>
          <w:rFonts w:hint="eastAsia" w:ascii="等线" w:hAnsi="等线"/>
          <w:szCs w:val="22"/>
        </w:rPr>
        <w:t>应支持对会计档案会计元数据、全文数据检索的访问权限控制。</w:t>
      </w:r>
    </w:p>
    <w:p>
      <w:pPr>
        <w:keepNext/>
        <w:keepLines/>
        <w:numPr>
          <w:ilvl w:val="0"/>
          <w:numId w:val="0"/>
        </w:numPr>
        <w:spacing w:before="260" w:after="260" w:line="415" w:lineRule="auto"/>
        <w:ind w:leftChars="0"/>
        <w:outlineLvl w:val="2"/>
        <w:rPr>
          <w:rFonts w:ascii="等线" w:hAnsi="等线"/>
          <w:b/>
          <w:bCs/>
          <w:szCs w:val="32"/>
        </w:rPr>
      </w:pPr>
      <w:r>
        <w:rPr>
          <w:rFonts w:hint="default" w:ascii="等线" w:hAnsi="等线"/>
          <w:b/>
          <w:bCs/>
          <w:szCs w:val="32"/>
          <w:lang w:val="en"/>
        </w:rPr>
        <w:t>E.6.2</w:t>
      </w:r>
      <w:r>
        <w:rPr>
          <w:rFonts w:hint="eastAsia" w:ascii="等线" w:hAnsi="等线"/>
          <w:b/>
          <w:bCs/>
          <w:szCs w:val="32"/>
        </w:rPr>
        <w:t>浏览</w:t>
      </w:r>
    </w:p>
    <w:p>
      <w:pPr>
        <w:numPr>
          <w:ilvl w:val="0"/>
          <w:numId w:val="26"/>
        </w:numPr>
        <w:rPr>
          <w:rFonts w:ascii="等线" w:hAnsi="等线"/>
          <w:szCs w:val="22"/>
        </w:rPr>
      </w:pPr>
      <w:r>
        <w:rPr>
          <w:rFonts w:hint="eastAsia" w:ascii="等线" w:hAnsi="等线"/>
          <w:szCs w:val="22"/>
        </w:rPr>
        <w:t>应支持对常见格式的电子会计档案信息进行浏览，如元数据浏览、全文浏览等；</w:t>
      </w:r>
    </w:p>
    <w:p>
      <w:pPr>
        <w:numPr>
          <w:ilvl w:val="0"/>
          <w:numId w:val="26"/>
        </w:numPr>
        <w:rPr>
          <w:rFonts w:ascii="等线" w:hAnsi="等线"/>
          <w:szCs w:val="22"/>
        </w:rPr>
      </w:pPr>
      <w:r>
        <w:rPr>
          <w:rFonts w:hint="eastAsia" w:ascii="等线" w:hAnsi="等线"/>
          <w:szCs w:val="22"/>
        </w:rPr>
        <w:t>应支持对电子会计档案浏览的访问权限控制；</w:t>
      </w:r>
    </w:p>
    <w:p>
      <w:pPr>
        <w:numPr>
          <w:ilvl w:val="0"/>
          <w:numId w:val="26"/>
        </w:numPr>
        <w:rPr>
          <w:rFonts w:ascii="等线" w:hAnsi="等线"/>
          <w:szCs w:val="22"/>
        </w:rPr>
      </w:pPr>
      <w:r>
        <w:rPr>
          <w:rFonts w:hint="eastAsia" w:ascii="等线" w:hAnsi="等线"/>
          <w:szCs w:val="22"/>
        </w:rPr>
        <w:t>应支持授权范围内的在线浏览、下载、打印等操作；</w:t>
      </w:r>
    </w:p>
    <w:p>
      <w:pPr>
        <w:numPr>
          <w:ilvl w:val="0"/>
          <w:numId w:val="26"/>
        </w:numPr>
        <w:rPr>
          <w:rFonts w:ascii="等线" w:hAnsi="等线"/>
          <w:szCs w:val="22"/>
        </w:rPr>
      </w:pPr>
      <w:r>
        <w:rPr>
          <w:rFonts w:hint="eastAsia" w:ascii="等线" w:hAnsi="等线"/>
          <w:szCs w:val="22"/>
        </w:rPr>
        <w:t>宜支持在电子会计档案浏览时增加防盗水印等保护措施。</w:t>
      </w:r>
    </w:p>
    <w:p>
      <w:pPr>
        <w:keepNext/>
        <w:keepLines/>
        <w:numPr>
          <w:ilvl w:val="0"/>
          <w:numId w:val="0"/>
        </w:numPr>
        <w:spacing w:before="260" w:after="260" w:line="415" w:lineRule="auto"/>
        <w:ind w:leftChars="0"/>
        <w:outlineLvl w:val="2"/>
        <w:rPr>
          <w:rFonts w:ascii="等线" w:hAnsi="等线"/>
          <w:b/>
          <w:bCs/>
          <w:szCs w:val="32"/>
        </w:rPr>
      </w:pPr>
      <w:bookmarkStart w:id="331" w:name="_Toc37676510"/>
      <w:r>
        <w:rPr>
          <w:rFonts w:hint="default" w:ascii="等线" w:hAnsi="等线"/>
          <w:b/>
          <w:bCs/>
          <w:szCs w:val="32"/>
          <w:lang w:val="en"/>
        </w:rPr>
        <w:t>E.6.3</w:t>
      </w:r>
      <w:r>
        <w:rPr>
          <w:rFonts w:hint="eastAsia" w:ascii="等线" w:hAnsi="等线"/>
          <w:b/>
          <w:bCs/>
          <w:szCs w:val="32"/>
        </w:rPr>
        <w:t>借阅</w:t>
      </w:r>
      <w:bookmarkEnd w:id="331"/>
    </w:p>
    <w:p>
      <w:pPr>
        <w:numPr>
          <w:ilvl w:val="0"/>
          <w:numId w:val="27"/>
        </w:numPr>
        <w:rPr>
          <w:rFonts w:ascii="等线" w:hAnsi="等线"/>
          <w:szCs w:val="22"/>
        </w:rPr>
      </w:pPr>
      <w:r>
        <w:rPr>
          <w:rFonts w:hint="eastAsia" w:ascii="等线" w:hAnsi="等线"/>
          <w:szCs w:val="22"/>
        </w:rPr>
        <w:t>应支持对电子会计档案借阅申请、审批、催还、归还功能；</w:t>
      </w:r>
    </w:p>
    <w:p>
      <w:pPr>
        <w:numPr>
          <w:ilvl w:val="0"/>
          <w:numId w:val="27"/>
        </w:numPr>
        <w:rPr>
          <w:rFonts w:ascii="等线" w:hAnsi="等线"/>
          <w:szCs w:val="22"/>
        </w:rPr>
      </w:pPr>
      <w:r>
        <w:rPr>
          <w:rFonts w:hint="eastAsia" w:ascii="等线" w:hAnsi="等线"/>
          <w:szCs w:val="22"/>
        </w:rPr>
        <w:t>应支持电子会计档案在线借阅申请、审批和流程定制等操作，支持自动授权功能；</w:t>
      </w:r>
    </w:p>
    <w:p>
      <w:pPr>
        <w:numPr>
          <w:ilvl w:val="0"/>
          <w:numId w:val="27"/>
        </w:numPr>
        <w:rPr>
          <w:rFonts w:ascii="等线" w:hAnsi="等线"/>
          <w:szCs w:val="22"/>
        </w:rPr>
      </w:pPr>
      <w:r>
        <w:rPr>
          <w:rFonts w:hint="eastAsia" w:ascii="等线" w:hAnsi="等线"/>
          <w:szCs w:val="22"/>
        </w:rPr>
        <w:t>应支持借阅审批流程符合会计档案管理利用制度；</w:t>
      </w:r>
    </w:p>
    <w:p>
      <w:pPr>
        <w:numPr>
          <w:ilvl w:val="0"/>
          <w:numId w:val="27"/>
        </w:numPr>
        <w:rPr>
          <w:rFonts w:ascii="等线" w:hAnsi="等线"/>
          <w:szCs w:val="22"/>
        </w:rPr>
      </w:pPr>
      <w:r>
        <w:rPr>
          <w:rFonts w:hint="eastAsia" w:ascii="等线" w:hAnsi="等线"/>
          <w:szCs w:val="22"/>
        </w:rPr>
        <w:t>应支持授权范围内的在线阅读、下载、打印等策略；</w:t>
      </w:r>
    </w:p>
    <w:p>
      <w:pPr>
        <w:numPr>
          <w:ilvl w:val="0"/>
          <w:numId w:val="27"/>
        </w:numPr>
        <w:rPr>
          <w:rFonts w:ascii="等线" w:hAnsi="等线"/>
          <w:szCs w:val="22"/>
        </w:rPr>
      </w:pPr>
      <w:r>
        <w:rPr>
          <w:rFonts w:hint="eastAsia" w:ascii="等线" w:hAnsi="等线"/>
          <w:szCs w:val="22"/>
        </w:rPr>
        <w:t>应支持对下载的电子会计档案原文权限的使用控制，可包括但不限于：</w:t>
      </w:r>
    </w:p>
    <w:p>
      <w:pPr>
        <w:ind w:left="420" w:leftChars="200"/>
        <w:rPr>
          <w:rFonts w:ascii="等线" w:hAnsi="等线"/>
          <w:szCs w:val="22"/>
        </w:rPr>
      </w:pPr>
      <w:r>
        <w:rPr>
          <w:rFonts w:hint="eastAsia" w:ascii="等线" w:hAnsi="等线"/>
          <w:szCs w:val="22"/>
        </w:rPr>
        <w:t>——全文在线浏览控制；</w:t>
      </w:r>
    </w:p>
    <w:p>
      <w:pPr>
        <w:ind w:left="420" w:leftChars="200"/>
        <w:rPr>
          <w:rFonts w:ascii="等线" w:hAnsi="等线"/>
          <w:szCs w:val="22"/>
        </w:rPr>
      </w:pPr>
      <w:r>
        <w:rPr>
          <w:rFonts w:hint="eastAsia" w:ascii="等线" w:hAnsi="等线"/>
          <w:szCs w:val="22"/>
        </w:rPr>
        <w:t>——全文在线打印控制；</w:t>
      </w:r>
    </w:p>
    <w:p>
      <w:pPr>
        <w:ind w:left="420" w:leftChars="200"/>
        <w:rPr>
          <w:rFonts w:ascii="等线" w:hAnsi="等线"/>
          <w:szCs w:val="22"/>
        </w:rPr>
      </w:pPr>
      <w:r>
        <w:rPr>
          <w:rFonts w:hint="eastAsia" w:ascii="等线" w:hAnsi="等线"/>
          <w:szCs w:val="22"/>
        </w:rPr>
        <w:t>——全文下载浏览次数、时间的控制；</w:t>
      </w:r>
    </w:p>
    <w:p>
      <w:pPr>
        <w:ind w:left="420" w:leftChars="200"/>
        <w:rPr>
          <w:rFonts w:ascii="等线" w:hAnsi="等线"/>
          <w:szCs w:val="22"/>
        </w:rPr>
      </w:pPr>
      <w:r>
        <w:rPr>
          <w:rFonts w:hint="eastAsia" w:ascii="等线" w:hAnsi="等线"/>
          <w:szCs w:val="22"/>
        </w:rPr>
        <w:t>——全文防拷贝、防扩散、防篡改。</w:t>
      </w:r>
    </w:p>
    <w:p>
      <w:pPr>
        <w:keepNext/>
        <w:keepLines/>
        <w:numPr>
          <w:ilvl w:val="0"/>
          <w:numId w:val="0"/>
        </w:numPr>
        <w:spacing w:before="260" w:after="260" w:line="415" w:lineRule="auto"/>
        <w:ind w:leftChars="0"/>
        <w:outlineLvl w:val="1"/>
        <w:rPr>
          <w:rFonts w:ascii="等线 Light" w:hAnsi="等线 Light"/>
          <w:b/>
          <w:bCs/>
          <w:szCs w:val="32"/>
        </w:rPr>
      </w:pPr>
      <w:bookmarkStart w:id="332" w:name="_Toc37676512"/>
      <w:r>
        <w:rPr>
          <w:rFonts w:hint="default" w:ascii="等线 Light" w:hAnsi="等线 Light"/>
          <w:b/>
          <w:bCs/>
          <w:szCs w:val="32"/>
          <w:lang w:val="en"/>
        </w:rPr>
        <w:t>E.7</w:t>
      </w:r>
      <w:r>
        <w:rPr>
          <w:rFonts w:ascii="等线 Light" w:hAnsi="等线 Light"/>
          <w:b/>
          <w:bCs/>
          <w:szCs w:val="32"/>
        </w:rPr>
        <w:t>系统管理功能</w:t>
      </w:r>
      <w:bookmarkEnd w:id="332"/>
    </w:p>
    <w:p>
      <w:pPr>
        <w:pStyle w:val="70"/>
        <w:keepNext/>
        <w:keepLines/>
        <w:numPr>
          <w:ilvl w:val="0"/>
          <w:numId w:val="7"/>
        </w:numPr>
        <w:spacing w:before="260" w:after="260" w:line="415" w:lineRule="auto"/>
        <w:ind w:firstLineChars="0"/>
        <w:outlineLvl w:val="2"/>
        <w:rPr>
          <w:rFonts w:hint="eastAsia" w:ascii="等线" w:hAnsi="等线"/>
          <w:b/>
          <w:bCs/>
          <w:vanish/>
          <w:szCs w:val="32"/>
        </w:rPr>
      </w:pPr>
      <w:bookmarkStart w:id="333" w:name="_Toc37676513"/>
      <w:bookmarkEnd w:id="333"/>
      <w:bookmarkStart w:id="334" w:name="_Toc37676514"/>
    </w:p>
    <w:p>
      <w:pPr>
        <w:keepNext/>
        <w:keepLines/>
        <w:numPr>
          <w:ilvl w:val="0"/>
          <w:numId w:val="0"/>
        </w:numPr>
        <w:spacing w:before="260" w:after="260" w:line="415" w:lineRule="auto"/>
        <w:ind w:leftChars="0"/>
        <w:outlineLvl w:val="2"/>
        <w:rPr>
          <w:rFonts w:ascii="等线" w:hAnsi="等线"/>
          <w:b/>
          <w:bCs/>
          <w:szCs w:val="32"/>
        </w:rPr>
      </w:pPr>
      <w:r>
        <w:rPr>
          <w:rFonts w:hint="default" w:ascii="等线" w:hAnsi="等线"/>
          <w:b/>
          <w:bCs/>
          <w:szCs w:val="32"/>
          <w:lang w:val="en"/>
        </w:rPr>
        <w:t>E.7.1</w:t>
      </w:r>
      <w:r>
        <w:rPr>
          <w:rFonts w:hint="eastAsia" w:ascii="等线" w:hAnsi="等线"/>
          <w:b/>
          <w:bCs/>
          <w:szCs w:val="32"/>
        </w:rPr>
        <w:t>日志管理</w:t>
      </w:r>
      <w:bookmarkEnd w:id="334"/>
    </w:p>
    <w:p>
      <w:pPr>
        <w:numPr>
          <w:ilvl w:val="0"/>
          <w:numId w:val="28"/>
        </w:numPr>
        <w:rPr>
          <w:rFonts w:ascii="等线" w:hAnsi="等线"/>
          <w:szCs w:val="22"/>
        </w:rPr>
      </w:pPr>
      <w:r>
        <w:rPr>
          <w:rFonts w:hint="eastAsia" w:ascii="等线" w:hAnsi="等线"/>
          <w:szCs w:val="22"/>
        </w:rPr>
        <w:t>应支持日志记载功能，记录用户操作信息、系统启动关闭信息、用户登录等行为和信息；</w:t>
      </w:r>
    </w:p>
    <w:p>
      <w:pPr>
        <w:numPr>
          <w:ilvl w:val="0"/>
          <w:numId w:val="28"/>
        </w:numPr>
        <w:rPr>
          <w:rFonts w:ascii="等线" w:hAnsi="等线"/>
          <w:szCs w:val="22"/>
        </w:rPr>
      </w:pPr>
      <w:r>
        <w:rPr>
          <w:rFonts w:hint="eastAsia" w:ascii="等线" w:hAnsi="等线"/>
          <w:szCs w:val="22"/>
        </w:rPr>
        <w:t>应支持对电子会计档案管理关键业务过程操作行为和系统非授权访问等事项进行审计、跟踪的功能，记录发现问题；</w:t>
      </w:r>
    </w:p>
    <w:p>
      <w:pPr>
        <w:numPr>
          <w:ilvl w:val="0"/>
          <w:numId w:val="28"/>
        </w:numPr>
        <w:rPr>
          <w:rFonts w:ascii="等线" w:hAnsi="等线"/>
          <w:szCs w:val="22"/>
        </w:rPr>
      </w:pPr>
      <w:r>
        <w:rPr>
          <w:rFonts w:hint="eastAsia" w:ascii="等线" w:hAnsi="等线"/>
          <w:szCs w:val="22"/>
        </w:rPr>
        <w:t>应支持日志自动生成的功能，并实施分类管理。系统日志应包括系统运行日志、用户操作日志、电子会计档案数据处理日志等类别；</w:t>
      </w:r>
    </w:p>
    <w:p>
      <w:pPr>
        <w:numPr>
          <w:ilvl w:val="0"/>
          <w:numId w:val="28"/>
        </w:numPr>
        <w:rPr>
          <w:rFonts w:ascii="等线" w:hAnsi="等线"/>
          <w:szCs w:val="22"/>
        </w:rPr>
      </w:pPr>
      <w:r>
        <w:rPr>
          <w:rFonts w:hint="eastAsia" w:ascii="等线" w:hAnsi="等线"/>
          <w:szCs w:val="22"/>
        </w:rPr>
        <w:t>应支持用户行为监控和预警工具，通过系统消息、邮件、短信等方式告知系统安全保密员；</w:t>
      </w:r>
    </w:p>
    <w:p>
      <w:pPr>
        <w:numPr>
          <w:ilvl w:val="0"/>
          <w:numId w:val="28"/>
        </w:numPr>
        <w:rPr>
          <w:rFonts w:ascii="等线" w:hAnsi="等线"/>
          <w:szCs w:val="22"/>
        </w:rPr>
      </w:pPr>
      <w:r>
        <w:rPr>
          <w:rFonts w:hint="eastAsia" w:ascii="等线" w:hAnsi="等线"/>
          <w:szCs w:val="22"/>
        </w:rPr>
        <w:t>宜支持提供日志的检索、查询功能，可通过可视化的界面展示日志的检索结果。</w:t>
      </w:r>
    </w:p>
    <w:p>
      <w:pPr>
        <w:keepNext/>
        <w:keepLines/>
        <w:numPr>
          <w:ilvl w:val="0"/>
          <w:numId w:val="0"/>
        </w:numPr>
        <w:spacing w:before="260" w:after="260" w:line="415" w:lineRule="auto"/>
        <w:ind w:leftChars="0"/>
        <w:outlineLvl w:val="2"/>
        <w:rPr>
          <w:rFonts w:ascii="等线" w:hAnsi="等线"/>
          <w:b/>
          <w:bCs/>
          <w:szCs w:val="32"/>
        </w:rPr>
      </w:pPr>
      <w:bookmarkStart w:id="335" w:name="_Toc37676515"/>
      <w:r>
        <w:rPr>
          <w:rFonts w:hint="default" w:ascii="等线" w:hAnsi="等线"/>
          <w:b/>
          <w:bCs/>
          <w:szCs w:val="32"/>
          <w:lang w:val="en"/>
        </w:rPr>
        <w:t>E.7.2</w:t>
      </w:r>
      <w:r>
        <w:rPr>
          <w:rFonts w:hint="eastAsia" w:ascii="等线" w:hAnsi="等线"/>
          <w:b/>
          <w:bCs/>
          <w:szCs w:val="32"/>
        </w:rPr>
        <w:t>系统设置</w:t>
      </w:r>
      <w:bookmarkEnd w:id="335"/>
    </w:p>
    <w:p>
      <w:pPr>
        <w:numPr>
          <w:ilvl w:val="0"/>
          <w:numId w:val="29"/>
        </w:numPr>
        <w:rPr>
          <w:rFonts w:ascii="等线" w:hAnsi="等线"/>
          <w:szCs w:val="22"/>
        </w:rPr>
      </w:pPr>
      <w:r>
        <w:rPr>
          <w:rFonts w:hint="eastAsia" w:ascii="等线" w:hAnsi="等线"/>
          <w:szCs w:val="22"/>
        </w:rPr>
        <w:t>应支持对电子会计档案流程化管理，可根据不同的电子会计档案类别的管理要求设置相应管理流程，可对流程进行跟踪和回溯；</w:t>
      </w:r>
    </w:p>
    <w:p>
      <w:pPr>
        <w:numPr>
          <w:ilvl w:val="0"/>
          <w:numId w:val="29"/>
        </w:numPr>
        <w:rPr>
          <w:rFonts w:ascii="等线" w:hAnsi="等线"/>
          <w:szCs w:val="22"/>
        </w:rPr>
      </w:pPr>
      <w:r>
        <w:rPr>
          <w:rFonts w:hint="eastAsia" w:ascii="等线" w:hAnsi="等线"/>
          <w:szCs w:val="22"/>
        </w:rPr>
        <w:t>应支持对电子会计档案元数据结构进行定义和维护的功能，规定电子会计档案分类的等级层次及关联关系，具体功能可包括但不限于以下功能：</w:t>
      </w:r>
    </w:p>
    <w:p>
      <w:pPr>
        <w:ind w:left="425"/>
        <w:rPr>
          <w:rFonts w:ascii="等线" w:hAnsi="等线"/>
          <w:szCs w:val="22"/>
        </w:rPr>
      </w:pPr>
      <w:r>
        <w:rPr>
          <w:rFonts w:hint="eastAsia" w:ascii="等线" w:hAnsi="等线"/>
          <w:szCs w:val="22"/>
        </w:rPr>
        <w:t>——使用系统提供的功能对分类体系进行逐级定义；</w:t>
      </w:r>
    </w:p>
    <w:p>
      <w:pPr>
        <w:ind w:left="425"/>
        <w:rPr>
          <w:rFonts w:ascii="等线" w:hAnsi="等线"/>
          <w:szCs w:val="22"/>
        </w:rPr>
      </w:pPr>
      <w:r>
        <w:rPr>
          <w:rFonts w:hint="eastAsia" w:ascii="等线" w:hAnsi="等线"/>
          <w:szCs w:val="22"/>
        </w:rPr>
        <w:t>——从外部接口文件中导入分类体系；</w:t>
      </w:r>
    </w:p>
    <w:p>
      <w:pPr>
        <w:ind w:left="425"/>
        <w:rPr>
          <w:rFonts w:ascii="等线" w:hAnsi="等线"/>
          <w:szCs w:val="22"/>
        </w:rPr>
      </w:pPr>
      <w:r>
        <w:rPr>
          <w:rFonts w:hint="eastAsia" w:ascii="等线" w:hAnsi="等线"/>
          <w:szCs w:val="22"/>
        </w:rPr>
        <w:t>——从外部系统中自动导入分类体系；</w:t>
      </w:r>
    </w:p>
    <w:p>
      <w:pPr>
        <w:ind w:left="425"/>
        <w:rPr>
          <w:rFonts w:ascii="等线" w:hAnsi="等线"/>
          <w:szCs w:val="22"/>
        </w:rPr>
      </w:pPr>
      <w:r>
        <w:rPr>
          <w:rFonts w:hint="eastAsia" w:ascii="等线" w:hAnsi="等线"/>
          <w:szCs w:val="22"/>
        </w:rPr>
        <w:t>——系统开始使用后，会计分类目录结构的修改、调整应在审批后方可进行，并采用安全可靠的方法确保电子会计档案不被修改；</w:t>
      </w:r>
    </w:p>
    <w:p>
      <w:pPr>
        <w:numPr>
          <w:ilvl w:val="0"/>
          <w:numId w:val="29"/>
        </w:numPr>
        <w:rPr>
          <w:rFonts w:ascii="等线" w:hAnsi="等线"/>
          <w:szCs w:val="22"/>
        </w:rPr>
      </w:pPr>
      <w:r>
        <w:rPr>
          <w:rFonts w:hint="eastAsia" w:ascii="等线" w:hAnsi="等线"/>
          <w:szCs w:val="22"/>
        </w:rPr>
        <w:t>应支持代码表的设置与维护，如，会计年度代码、密级代码、保管期限代码等信息的设置与维护；应支持元数据及其关联关系的设置维护，可以定义元数据的名称、类型、是否为空、是否唯一、字符串长度限制、缺省值、最大值、最小值、组合字段、关联关系等属性信息；</w:t>
      </w:r>
    </w:p>
    <w:p>
      <w:pPr>
        <w:numPr>
          <w:ilvl w:val="0"/>
          <w:numId w:val="29"/>
        </w:numPr>
        <w:rPr>
          <w:rFonts w:ascii="等线" w:hAnsi="等线"/>
          <w:szCs w:val="22"/>
        </w:rPr>
      </w:pPr>
      <w:r>
        <w:rPr>
          <w:rFonts w:hint="eastAsia" w:ascii="等线" w:hAnsi="等线"/>
          <w:szCs w:val="22"/>
        </w:rPr>
        <w:t>应支持“四性检测”的设置维护，可进行检测规则、检测元数据项目等设置。</w:t>
      </w:r>
    </w:p>
    <w:p>
      <w:pPr>
        <w:keepNext/>
        <w:keepLines/>
        <w:numPr>
          <w:ilvl w:val="0"/>
          <w:numId w:val="0"/>
        </w:numPr>
        <w:spacing w:before="260" w:after="260" w:line="415" w:lineRule="auto"/>
        <w:ind w:leftChars="0"/>
        <w:outlineLvl w:val="2"/>
        <w:rPr>
          <w:rFonts w:ascii="等线" w:hAnsi="等线"/>
          <w:b/>
          <w:bCs/>
          <w:szCs w:val="32"/>
        </w:rPr>
      </w:pPr>
      <w:bookmarkStart w:id="336" w:name="_Toc37676516"/>
      <w:r>
        <w:rPr>
          <w:rFonts w:hint="default" w:ascii="等线" w:hAnsi="等线"/>
          <w:b/>
          <w:bCs/>
          <w:szCs w:val="32"/>
          <w:lang w:val="en"/>
        </w:rPr>
        <w:t>E.7.3</w:t>
      </w:r>
      <w:r>
        <w:rPr>
          <w:rFonts w:hint="eastAsia" w:ascii="等线" w:hAnsi="等线"/>
          <w:b/>
          <w:bCs/>
          <w:szCs w:val="32"/>
        </w:rPr>
        <w:t>用户管理</w:t>
      </w:r>
      <w:bookmarkEnd w:id="336"/>
    </w:p>
    <w:p>
      <w:pPr>
        <w:numPr>
          <w:ilvl w:val="0"/>
          <w:numId w:val="30"/>
        </w:numPr>
        <w:rPr>
          <w:rFonts w:ascii="等线" w:hAnsi="等线"/>
          <w:szCs w:val="22"/>
        </w:rPr>
      </w:pPr>
      <w:r>
        <w:rPr>
          <w:rFonts w:hint="eastAsia" w:ascii="等线" w:hAnsi="等线"/>
          <w:szCs w:val="22"/>
        </w:rPr>
        <w:t>应支持用户信息的直接录入，或通过接口方式同步其他系统中的用户信息；</w:t>
      </w:r>
    </w:p>
    <w:p>
      <w:pPr>
        <w:numPr>
          <w:ilvl w:val="0"/>
          <w:numId w:val="30"/>
        </w:numPr>
        <w:rPr>
          <w:rFonts w:ascii="等线" w:hAnsi="等线"/>
          <w:szCs w:val="22"/>
        </w:rPr>
      </w:pPr>
      <w:r>
        <w:rPr>
          <w:rFonts w:hint="eastAsia" w:ascii="等线" w:hAnsi="等线"/>
          <w:szCs w:val="22"/>
        </w:rPr>
        <w:t>应支持系统管理员、系统安全保密员和系统安全审计员的三员分立的安全控制功能；</w:t>
      </w:r>
    </w:p>
    <w:p>
      <w:pPr>
        <w:numPr>
          <w:ilvl w:val="0"/>
          <w:numId w:val="30"/>
        </w:numPr>
        <w:rPr>
          <w:rFonts w:ascii="等线" w:hAnsi="等线"/>
          <w:szCs w:val="22"/>
        </w:rPr>
      </w:pPr>
      <w:bookmarkStart w:id="337" w:name="_Hlk37599025"/>
      <w:r>
        <w:rPr>
          <w:rFonts w:hint="eastAsia" w:ascii="等线" w:hAnsi="等线"/>
          <w:szCs w:val="22"/>
        </w:rPr>
        <w:t>应支持用户信息的管理，对用户信息可以进行查看、新增、修改、删除、启用、禁用、分组、分类等功能操作，用户信息的删除、启用、禁用可以支持批量操作；</w:t>
      </w:r>
    </w:p>
    <w:bookmarkEnd w:id="337"/>
    <w:p>
      <w:pPr>
        <w:numPr>
          <w:ilvl w:val="0"/>
          <w:numId w:val="30"/>
        </w:numPr>
        <w:rPr>
          <w:rFonts w:ascii="等线" w:hAnsi="等线"/>
          <w:szCs w:val="22"/>
        </w:rPr>
      </w:pPr>
      <w:r>
        <w:rPr>
          <w:rFonts w:hint="eastAsia" w:ascii="等线" w:hAnsi="等线"/>
          <w:szCs w:val="22"/>
        </w:rPr>
        <w:t>应支持用户密码强度管理，可以设置、调整用户密码强度策略，对于多次登录验证失败的用户账号信息支持用户锁定处理；</w:t>
      </w:r>
    </w:p>
    <w:p>
      <w:pPr>
        <w:numPr>
          <w:ilvl w:val="0"/>
          <w:numId w:val="30"/>
        </w:numPr>
        <w:rPr>
          <w:rFonts w:ascii="等线" w:hAnsi="等线"/>
          <w:szCs w:val="22"/>
        </w:rPr>
      </w:pPr>
      <w:r>
        <w:rPr>
          <w:rFonts w:hint="eastAsia"/>
        </w:rPr>
        <w:t>宜具备用户身份安全认证服务或用户信息绑定固定IP地址和MAC地址等功能，实现控制用户登录，保证信息安全。</w:t>
      </w:r>
    </w:p>
    <w:p>
      <w:pPr>
        <w:keepNext/>
        <w:keepLines/>
        <w:numPr>
          <w:ilvl w:val="0"/>
          <w:numId w:val="0"/>
        </w:numPr>
        <w:spacing w:before="260" w:after="260" w:line="415" w:lineRule="auto"/>
        <w:ind w:leftChars="0"/>
        <w:outlineLvl w:val="2"/>
        <w:rPr>
          <w:rFonts w:ascii="等线" w:hAnsi="等线"/>
          <w:b/>
          <w:bCs/>
          <w:szCs w:val="32"/>
        </w:rPr>
      </w:pPr>
      <w:bookmarkStart w:id="338" w:name="_Toc37676517"/>
      <w:r>
        <w:rPr>
          <w:rFonts w:hint="default" w:ascii="等线" w:hAnsi="等线"/>
          <w:b/>
          <w:bCs/>
          <w:szCs w:val="32"/>
          <w:lang w:val="en"/>
        </w:rPr>
        <w:t>E.7.4</w:t>
      </w:r>
      <w:r>
        <w:rPr>
          <w:rFonts w:hint="eastAsia" w:ascii="等线" w:hAnsi="等线"/>
          <w:b/>
          <w:bCs/>
          <w:szCs w:val="32"/>
        </w:rPr>
        <w:t>组织管理</w:t>
      </w:r>
      <w:bookmarkEnd w:id="338"/>
    </w:p>
    <w:p>
      <w:pPr>
        <w:numPr>
          <w:ilvl w:val="0"/>
          <w:numId w:val="31"/>
        </w:numPr>
        <w:rPr>
          <w:rFonts w:ascii="等线" w:hAnsi="等线"/>
          <w:szCs w:val="22"/>
        </w:rPr>
      </w:pPr>
      <w:r>
        <w:rPr>
          <w:rFonts w:ascii="等线" w:hAnsi="等线"/>
          <w:szCs w:val="22"/>
        </w:rPr>
        <w:t>应</w:t>
      </w:r>
      <w:r>
        <w:rPr>
          <w:rFonts w:hint="eastAsia" w:ascii="等线" w:hAnsi="等线"/>
          <w:szCs w:val="22"/>
        </w:rPr>
        <w:t>支持组织机构信息的直接录入，或通过接口方式同步其他系统中的组织机构信息；</w:t>
      </w:r>
    </w:p>
    <w:p>
      <w:pPr>
        <w:numPr>
          <w:ilvl w:val="0"/>
          <w:numId w:val="31"/>
        </w:numPr>
        <w:rPr>
          <w:rFonts w:ascii="等线" w:hAnsi="等线"/>
          <w:szCs w:val="22"/>
        </w:rPr>
      </w:pPr>
      <w:r>
        <w:rPr>
          <w:rFonts w:ascii="等线" w:hAnsi="等线"/>
          <w:szCs w:val="22"/>
        </w:rPr>
        <w:t>应</w:t>
      </w:r>
      <w:r>
        <w:rPr>
          <w:rFonts w:hint="eastAsia" w:ascii="等线" w:hAnsi="等线"/>
          <w:szCs w:val="22"/>
        </w:rPr>
        <w:t>支持组织机构的多级管理功能；</w:t>
      </w:r>
    </w:p>
    <w:p>
      <w:pPr>
        <w:numPr>
          <w:ilvl w:val="0"/>
          <w:numId w:val="31"/>
        </w:numPr>
        <w:rPr>
          <w:rFonts w:ascii="等线" w:hAnsi="等线"/>
          <w:szCs w:val="22"/>
        </w:rPr>
      </w:pPr>
      <w:r>
        <w:rPr>
          <w:rFonts w:ascii="等线" w:hAnsi="等线"/>
          <w:szCs w:val="22"/>
        </w:rPr>
        <w:t>应支持</w:t>
      </w:r>
      <w:r>
        <w:rPr>
          <w:rFonts w:hint="eastAsia" w:ascii="等线" w:hAnsi="等线"/>
          <w:szCs w:val="22"/>
        </w:rPr>
        <w:t>组织机构</w:t>
      </w:r>
      <w:r>
        <w:rPr>
          <w:rFonts w:ascii="等线" w:hAnsi="等线"/>
          <w:szCs w:val="22"/>
        </w:rPr>
        <w:t>信息的管理，</w:t>
      </w:r>
      <w:r>
        <w:rPr>
          <w:rFonts w:hint="eastAsia" w:ascii="等线" w:hAnsi="等线"/>
          <w:szCs w:val="22"/>
        </w:rPr>
        <w:t>对组织机构</w:t>
      </w:r>
      <w:r>
        <w:rPr>
          <w:rFonts w:ascii="等线" w:hAnsi="等线"/>
          <w:szCs w:val="22"/>
        </w:rPr>
        <w:t>信息可以进行查看、新增、修改、删除等功能操作</w:t>
      </w:r>
      <w:r>
        <w:rPr>
          <w:rFonts w:hint="eastAsia" w:ascii="等线" w:hAnsi="等线"/>
          <w:szCs w:val="22"/>
        </w:rPr>
        <w:t>，</w:t>
      </w:r>
      <w:r>
        <w:rPr>
          <w:rFonts w:hint="eastAsia"/>
        </w:rPr>
        <w:t>可实现用户与组织机构的映射。</w:t>
      </w:r>
    </w:p>
    <w:p>
      <w:pPr>
        <w:keepNext/>
        <w:keepLines/>
        <w:numPr>
          <w:ilvl w:val="0"/>
          <w:numId w:val="0"/>
        </w:numPr>
        <w:spacing w:before="260" w:after="260" w:line="415" w:lineRule="auto"/>
        <w:ind w:leftChars="0"/>
        <w:outlineLvl w:val="2"/>
        <w:rPr>
          <w:rFonts w:ascii="等线" w:hAnsi="等线"/>
          <w:b/>
          <w:bCs/>
          <w:szCs w:val="32"/>
        </w:rPr>
      </w:pPr>
      <w:bookmarkStart w:id="339" w:name="_Toc37676518"/>
      <w:r>
        <w:rPr>
          <w:rFonts w:hint="default" w:ascii="等线" w:hAnsi="等线"/>
          <w:b/>
          <w:bCs/>
          <w:szCs w:val="32"/>
          <w:lang w:val="en"/>
        </w:rPr>
        <w:t>E.7.5</w:t>
      </w:r>
      <w:r>
        <w:rPr>
          <w:rFonts w:hint="eastAsia" w:ascii="等线" w:hAnsi="等线"/>
          <w:b/>
          <w:bCs/>
          <w:szCs w:val="32"/>
        </w:rPr>
        <w:t>权限管理</w:t>
      </w:r>
      <w:bookmarkEnd w:id="339"/>
    </w:p>
    <w:p>
      <w:pPr>
        <w:numPr>
          <w:ilvl w:val="0"/>
          <w:numId w:val="32"/>
        </w:numPr>
        <w:rPr>
          <w:rFonts w:ascii="等线" w:hAnsi="等线"/>
          <w:szCs w:val="22"/>
        </w:rPr>
      </w:pPr>
      <w:r>
        <w:rPr>
          <w:rFonts w:ascii="等线" w:hAnsi="等线"/>
          <w:szCs w:val="22"/>
        </w:rPr>
        <w:t>应</w:t>
      </w:r>
      <w:r>
        <w:rPr>
          <w:rFonts w:hint="eastAsia" w:ascii="等线" w:hAnsi="等线"/>
          <w:szCs w:val="22"/>
        </w:rPr>
        <w:t>支持电子会计档案权限管理功能，保证授权用户能够在其权限范围内进行合法操作；</w:t>
      </w:r>
    </w:p>
    <w:p>
      <w:pPr>
        <w:numPr>
          <w:ilvl w:val="0"/>
          <w:numId w:val="32"/>
        </w:numPr>
        <w:rPr>
          <w:rFonts w:ascii="等线" w:hAnsi="等线"/>
          <w:szCs w:val="22"/>
        </w:rPr>
      </w:pPr>
      <w:r>
        <w:rPr>
          <w:rFonts w:hint="eastAsia" w:ascii="等线" w:hAnsi="等线"/>
          <w:szCs w:val="22"/>
        </w:rPr>
        <w:t>应支持权限可以精细的控制，如指定用户、角色、岗位、单位等授权档案记录的访问和使用权限；</w:t>
      </w:r>
    </w:p>
    <w:p>
      <w:pPr>
        <w:numPr>
          <w:ilvl w:val="0"/>
          <w:numId w:val="32"/>
        </w:numPr>
        <w:rPr>
          <w:rFonts w:ascii="等线" w:hAnsi="等线"/>
          <w:szCs w:val="22"/>
        </w:rPr>
      </w:pPr>
      <w:r>
        <w:rPr>
          <w:rFonts w:hint="eastAsia" w:ascii="等线" w:hAnsi="等线"/>
          <w:szCs w:val="22"/>
        </w:rPr>
        <w:t>应支持权限有效期的设置，到期后系统自动取消权限；</w:t>
      </w:r>
    </w:p>
    <w:p>
      <w:pPr>
        <w:numPr>
          <w:ilvl w:val="0"/>
          <w:numId w:val="32"/>
        </w:numPr>
        <w:rPr>
          <w:rFonts w:ascii="等线" w:hAnsi="等线"/>
          <w:szCs w:val="22"/>
        </w:rPr>
      </w:pPr>
      <w:r>
        <w:rPr>
          <w:rFonts w:hint="eastAsia" w:ascii="等线" w:hAnsi="等线"/>
          <w:szCs w:val="22"/>
        </w:rPr>
        <w:t>应支持根据职责和岗位的不同以功能和数据授权方式赋权。</w:t>
      </w:r>
    </w:p>
    <w:p/>
    <w:p>
      <w:pPr>
        <w:wordWrap w:val="0"/>
        <w:ind w:firstLine="426"/>
        <w:rPr>
          <w:rFonts w:hint="default"/>
          <w:color w:val="auto"/>
          <w:szCs w:val="21"/>
          <w:highlight w:val="none"/>
          <w:lang w:val="en-US" w:eastAsia="zh-CN"/>
        </w:rPr>
      </w:pPr>
    </w:p>
    <w:p>
      <w:pPr>
        <w:rPr>
          <w:rFonts w:hint="default"/>
          <w:color w:val="auto"/>
          <w:szCs w:val="21"/>
          <w:highlight w:val="none"/>
          <w:lang w:val="en-US" w:eastAsia="zh-CN"/>
        </w:rPr>
      </w:pPr>
      <w:r>
        <w:rPr>
          <w:rFonts w:hint="default"/>
          <w:color w:val="auto"/>
          <w:szCs w:val="21"/>
          <w:highlight w:val="none"/>
          <w:lang w:val="en-US" w:eastAsia="zh-CN"/>
        </w:rPr>
        <w:br w:type="page"/>
      </w:r>
    </w:p>
    <w:p>
      <w:pPr>
        <w:wordWrap w:val="0"/>
        <w:ind w:firstLine="426"/>
        <w:rPr>
          <w:rFonts w:hint="default"/>
          <w:color w:val="auto"/>
          <w:szCs w:val="21"/>
          <w:highlight w:val="none"/>
          <w:lang w:val="en-US" w:eastAsia="zh-CN"/>
        </w:rPr>
      </w:pPr>
      <w:bookmarkStart w:id="340" w:name="_GoBack"/>
      <w:bookmarkEnd w:id="340"/>
    </w:p>
    <w:p>
      <w:pPr>
        <w:pStyle w:val="58"/>
        <w:wordWrap w:val="0"/>
        <w:spacing w:beforeLines="0" w:afterLines="0"/>
        <w:jc w:val="center"/>
        <w:outlineLvl w:val="0"/>
        <w:rPr>
          <w:rFonts w:hAnsi="黑体"/>
          <w:lang w:val="de-DE"/>
        </w:rPr>
      </w:pPr>
      <w:r>
        <w:rPr>
          <w:rFonts w:hint="eastAsia" w:hAnsi="黑体"/>
          <w:lang w:val="de-DE"/>
        </w:rPr>
        <w:t>附 录 F</w:t>
      </w:r>
      <w:r>
        <w:rPr>
          <w:rFonts w:hAnsi="黑体"/>
          <w:lang w:val="de-DE"/>
        </w:rPr>
        <w:br w:type="textWrapping" w:clear="all"/>
      </w:r>
      <w:r>
        <w:rPr>
          <w:rFonts w:hint="eastAsia" w:hAnsi="黑体"/>
          <w:lang w:val="de-DE"/>
        </w:rPr>
        <w:t>（</w:t>
      </w:r>
      <w:r>
        <w:rPr>
          <w:rFonts w:hint="eastAsia" w:hAnsi="黑体"/>
          <w:color w:val="000000"/>
          <w:lang w:val="de-DE"/>
        </w:rPr>
        <w:t>资料性附录</w:t>
      </w:r>
      <w:r>
        <w:rPr>
          <w:rFonts w:hint="eastAsia" w:hAnsi="黑体"/>
          <w:lang w:val="de-DE"/>
        </w:rPr>
        <w:t>）</w:t>
      </w:r>
    </w:p>
    <w:p>
      <w:pPr>
        <w:pStyle w:val="58"/>
        <w:wordWrap w:val="0"/>
        <w:spacing w:beforeLines="0" w:afterLines="0"/>
        <w:jc w:val="center"/>
        <w:outlineLvl w:val="0"/>
        <w:rPr>
          <w:rFonts w:hAnsi="黑体"/>
          <w:lang w:val="de-DE"/>
        </w:rPr>
      </w:pPr>
      <w:r>
        <w:rPr>
          <w:rFonts w:hint="eastAsia" w:hAnsi="黑体"/>
          <w:lang w:val="de-DE"/>
        </w:rPr>
        <w:t>电子会计资料保存用表（图）</w:t>
      </w:r>
    </w:p>
    <w:p>
      <w:pPr>
        <w:rPr>
          <w:rFonts w:hint="eastAsia"/>
          <w:lang w:val="de-DE"/>
        </w:rPr>
      </w:pPr>
    </w:p>
    <w:p>
      <w:pPr>
        <w:pStyle w:val="58"/>
        <w:spacing w:beforeLines="0" w:afterLines="0"/>
        <w:outlineLvl w:val="0"/>
        <w:rPr>
          <w:rFonts w:hint="eastAsia" w:hAnsi="黑体"/>
          <w:lang w:val="de-DE"/>
        </w:rPr>
      </w:pPr>
      <w:r>
        <w:rPr>
          <w:rFonts w:hint="eastAsia" w:hAnsi="黑体"/>
          <w:lang w:val="de-DE"/>
        </w:rPr>
        <w:t>F1.电子会计资料登记表</w:t>
      </w:r>
    </w:p>
    <w:p>
      <w:pPr>
        <w:rPr>
          <w:lang w:val="de-DE"/>
        </w:rPr>
      </w:pPr>
    </w:p>
    <w:tbl>
      <w:tblPr>
        <w:tblStyle w:val="24"/>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1275"/>
        <w:gridCol w:w="851"/>
        <w:gridCol w:w="1134"/>
        <w:gridCol w:w="1134"/>
        <w:gridCol w:w="141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pPr>
              <w:spacing w:line="360" w:lineRule="auto"/>
              <w:jc w:val="center"/>
              <w:rPr>
                <w:rFonts w:ascii="宋体" w:hAnsi="宋体"/>
                <w:kern w:val="0"/>
                <w:szCs w:val="21"/>
              </w:rPr>
            </w:pPr>
            <w:r>
              <w:rPr>
                <w:rFonts w:hint="eastAsia" w:ascii="宋体" w:hAnsi="宋体"/>
                <w:kern w:val="0"/>
                <w:szCs w:val="21"/>
              </w:rPr>
              <w:t>序号</w:t>
            </w:r>
          </w:p>
        </w:tc>
        <w:tc>
          <w:tcPr>
            <w:tcW w:w="709" w:type="dxa"/>
            <w:vAlign w:val="center"/>
          </w:tcPr>
          <w:p>
            <w:pPr>
              <w:spacing w:line="360" w:lineRule="auto"/>
              <w:jc w:val="center"/>
              <w:rPr>
                <w:rFonts w:ascii="宋体" w:hAnsi="宋体"/>
                <w:kern w:val="0"/>
                <w:szCs w:val="21"/>
              </w:rPr>
            </w:pPr>
            <w:r>
              <w:rPr>
                <w:rFonts w:hint="eastAsia" w:ascii="宋体" w:hAnsi="宋体"/>
                <w:kern w:val="0"/>
                <w:szCs w:val="21"/>
              </w:rPr>
              <w:t>档号</w:t>
            </w:r>
          </w:p>
        </w:tc>
        <w:tc>
          <w:tcPr>
            <w:tcW w:w="1275" w:type="dxa"/>
            <w:vAlign w:val="center"/>
          </w:tcPr>
          <w:p>
            <w:pPr>
              <w:spacing w:line="360" w:lineRule="auto"/>
              <w:jc w:val="center"/>
              <w:rPr>
                <w:rFonts w:ascii="宋体" w:hAnsi="宋体"/>
                <w:kern w:val="0"/>
                <w:szCs w:val="21"/>
              </w:rPr>
            </w:pPr>
            <w:r>
              <w:rPr>
                <w:rFonts w:hint="eastAsia" w:ascii="宋体" w:hAnsi="宋体"/>
                <w:kern w:val="0"/>
                <w:szCs w:val="21"/>
              </w:rPr>
              <w:t>文件号</w:t>
            </w:r>
          </w:p>
        </w:tc>
        <w:tc>
          <w:tcPr>
            <w:tcW w:w="851" w:type="dxa"/>
            <w:vAlign w:val="center"/>
          </w:tcPr>
          <w:p>
            <w:pPr>
              <w:spacing w:line="360" w:lineRule="auto"/>
              <w:jc w:val="center"/>
              <w:rPr>
                <w:rFonts w:ascii="宋体" w:hAnsi="宋体"/>
                <w:kern w:val="0"/>
                <w:szCs w:val="21"/>
              </w:rPr>
            </w:pPr>
            <w:r>
              <w:rPr>
                <w:rFonts w:hint="eastAsia" w:ascii="宋体" w:hAnsi="宋体"/>
                <w:kern w:val="0"/>
                <w:szCs w:val="21"/>
              </w:rPr>
              <w:t>题名</w:t>
            </w:r>
          </w:p>
        </w:tc>
        <w:tc>
          <w:tcPr>
            <w:tcW w:w="1134" w:type="dxa"/>
            <w:vAlign w:val="center"/>
          </w:tcPr>
          <w:p>
            <w:pPr>
              <w:spacing w:line="360" w:lineRule="auto"/>
              <w:jc w:val="center"/>
              <w:rPr>
                <w:rFonts w:ascii="宋体" w:hAnsi="宋体"/>
                <w:kern w:val="0"/>
                <w:szCs w:val="21"/>
              </w:rPr>
            </w:pPr>
            <w:r>
              <w:rPr>
                <w:rFonts w:hint="eastAsia" w:ascii="宋体" w:hAnsi="宋体"/>
                <w:kern w:val="0"/>
                <w:szCs w:val="21"/>
              </w:rPr>
              <w:t>形成日期</w:t>
            </w:r>
          </w:p>
        </w:tc>
        <w:tc>
          <w:tcPr>
            <w:tcW w:w="1134" w:type="dxa"/>
            <w:vAlign w:val="center"/>
          </w:tcPr>
          <w:p>
            <w:pPr>
              <w:spacing w:line="360" w:lineRule="auto"/>
              <w:jc w:val="center"/>
              <w:rPr>
                <w:rFonts w:ascii="宋体" w:hAnsi="宋体"/>
                <w:kern w:val="0"/>
                <w:szCs w:val="21"/>
              </w:rPr>
            </w:pPr>
            <w:r>
              <w:rPr>
                <w:rFonts w:hint="eastAsia" w:ascii="宋体" w:hAnsi="宋体"/>
                <w:kern w:val="0"/>
                <w:szCs w:val="21"/>
              </w:rPr>
              <w:t>保管期限</w:t>
            </w:r>
          </w:p>
        </w:tc>
        <w:tc>
          <w:tcPr>
            <w:tcW w:w="1418" w:type="dxa"/>
            <w:vAlign w:val="center"/>
          </w:tcPr>
          <w:p>
            <w:pPr>
              <w:adjustRightInd w:val="0"/>
              <w:snapToGrid w:val="0"/>
              <w:jc w:val="center"/>
              <w:rPr>
                <w:rFonts w:ascii="宋体" w:hAnsi="宋体"/>
                <w:kern w:val="0"/>
                <w:szCs w:val="21"/>
              </w:rPr>
            </w:pPr>
            <w:r>
              <w:rPr>
                <w:rFonts w:hint="eastAsia" w:ascii="宋体" w:hAnsi="宋体"/>
                <w:kern w:val="0"/>
                <w:szCs w:val="21"/>
              </w:rPr>
              <w:t>电子文件名</w:t>
            </w:r>
          </w:p>
        </w:tc>
        <w:tc>
          <w:tcPr>
            <w:tcW w:w="1134" w:type="dxa"/>
          </w:tcPr>
          <w:p>
            <w:pPr>
              <w:spacing w:line="360" w:lineRule="auto"/>
              <w:jc w:val="center"/>
              <w:rPr>
                <w:rFonts w:ascii="宋体" w:hAnsi="宋体"/>
                <w:kern w:val="0"/>
                <w:szCs w:val="21"/>
              </w:rPr>
            </w:pPr>
            <w:r>
              <w:rPr>
                <w:rFonts w:hint="eastAsia" w:ascii="宋体" w:hAnsi="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spacing w:line="360" w:lineRule="auto"/>
              <w:jc w:val="center"/>
              <w:rPr>
                <w:rFonts w:ascii="宋体" w:hAnsi="宋体"/>
                <w:kern w:val="0"/>
                <w:szCs w:val="21"/>
              </w:rPr>
            </w:pPr>
          </w:p>
        </w:tc>
        <w:tc>
          <w:tcPr>
            <w:tcW w:w="709" w:type="dxa"/>
          </w:tcPr>
          <w:p>
            <w:pPr>
              <w:spacing w:line="360" w:lineRule="auto"/>
              <w:rPr>
                <w:rFonts w:ascii="宋体" w:hAnsi="宋体"/>
                <w:kern w:val="0"/>
                <w:sz w:val="24"/>
                <w:szCs w:val="24"/>
              </w:rPr>
            </w:pPr>
          </w:p>
        </w:tc>
        <w:tc>
          <w:tcPr>
            <w:tcW w:w="1275" w:type="dxa"/>
          </w:tcPr>
          <w:p>
            <w:pPr>
              <w:spacing w:line="360" w:lineRule="auto"/>
              <w:rPr>
                <w:rFonts w:ascii="宋体" w:hAnsi="宋体"/>
                <w:kern w:val="0"/>
                <w:sz w:val="24"/>
                <w:szCs w:val="24"/>
              </w:rPr>
            </w:pPr>
          </w:p>
        </w:tc>
        <w:tc>
          <w:tcPr>
            <w:tcW w:w="851" w:type="dxa"/>
          </w:tcPr>
          <w:p>
            <w:pPr>
              <w:spacing w:line="360" w:lineRule="auto"/>
              <w:rPr>
                <w:rFonts w:ascii="宋体" w:hAnsi="宋体"/>
                <w:kern w:val="0"/>
                <w:sz w:val="24"/>
                <w:szCs w:val="24"/>
              </w:rPr>
            </w:pPr>
          </w:p>
        </w:tc>
        <w:tc>
          <w:tcPr>
            <w:tcW w:w="1134" w:type="dxa"/>
          </w:tcPr>
          <w:p>
            <w:pPr>
              <w:spacing w:line="360" w:lineRule="auto"/>
              <w:rPr>
                <w:rFonts w:ascii="宋体" w:hAnsi="宋体"/>
                <w:kern w:val="0"/>
                <w:sz w:val="24"/>
                <w:szCs w:val="24"/>
              </w:rPr>
            </w:pPr>
          </w:p>
        </w:tc>
        <w:tc>
          <w:tcPr>
            <w:tcW w:w="1134" w:type="dxa"/>
          </w:tcPr>
          <w:p>
            <w:pPr>
              <w:spacing w:line="360" w:lineRule="auto"/>
              <w:rPr>
                <w:rFonts w:ascii="宋体" w:hAnsi="宋体"/>
                <w:kern w:val="0"/>
                <w:sz w:val="24"/>
                <w:szCs w:val="24"/>
              </w:rPr>
            </w:pPr>
          </w:p>
        </w:tc>
        <w:tc>
          <w:tcPr>
            <w:tcW w:w="1418" w:type="dxa"/>
          </w:tcPr>
          <w:p>
            <w:pPr>
              <w:spacing w:line="360" w:lineRule="auto"/>
              <w:rPr>
                <w:rFonts w:ascii="宋体" w:hAnsi="宋体"/>
                <w:kern w:val="0"/>
                <w:sz w:val="24"/>
                <w:szCs w:val="24"/>
              </w:rPr>
            </w:pPr>
          </w:p>
        </w:tc>
        <w:tc>
          <w:tcPr>
            <w:tcW w:w="1134" w:type="dxa"/>
          </w:tcPr>
          <w:p>
            <w:pPr>
              <w:spacing w:line="360" w:lineRule="auto"/>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spacing w:line="360" w:lineRule="auto"/>
              <w:jc w:val="center"/>
              <w:rPr>
                <w:rFonts w:ascii="宋体" w:hAnsi="宋体"/>
                <w:kern w:val="0"/>
                <w:szCs w:val="21"/>
              </w:rPr>
            </w:pPr>
          </w:p>
        </w:tc>
        <w:tc>
          <w:tcPr>
            <w:tcW w:w="709" w:type="dxa"/>
          </w:tcPr>
          <w:p>
            <w:pPr>
              <w:spacing w:line="360" w:lineRule="auto"/>
              <w:rPr>
                <w:rFonts w:ascii="宋体" w:hAnsi="宋体"/>
                <w:kern w:val="0"/>
                <w:sz w:val="24"/>
                <w:szCs w:val="24"/>
              </w:rPr>
            </w:pPr>
          </w:p>
        </w:tc>
        <w:tc>
          <w:tcPr>
            <w:tcW w:w="1275" w:type="dxa"/>
          </w:tcPr>
          <w:p>
            <w:pPr>
              <w:spacing w:line="360" w:lineRule="auto"/>
              <w:rPr>
                <w:rFonts w:ascii="宋体" w:hAnsi="宋体"/>
                <w:kern w:val="0"/>
                <w:sz w:val="24"/>
                <w:szCs w:val="24"/>
              </w:rPr>
            </w:pPr>
          </w:p>
        </w:tc>
        <w:tc>
          <w:tcPr>
            <w:tcW w:w="851" w:type="dxa"/>
          </w:tcPr>
          <w:p>
            <w:pPr>
              <w:spacing w:line="360" w:lineRule="auto"/>
              <w:rPr>
                <w:rFonts w:ascii="宋体" w:hAnsi="宋体"/>
                <w:kern w:val="0"/>
                <w:sz w:val="24"/>
                <w:szCs w:val="24"/>
              </w:rPr>
            </w:pPr>
          </w:p>
        </w:tc>
        <w:tc>
          <w:tcPr>
            <w:tcW w:w="1134" w:type="dxa"/>
          </w:tcPr>
          <w:p>
            <w:pPr>
              <w:spacing w:line="360" w:lineRule="auto"/>
              <w:rPr>
                <w:rFonts w:ascii="宋体" w:hAnsi="宋体"/>
                <w:kern w:val="0"/>
                <w:sz w:val="24"/>
                <w:szCs w:val="24"/>
              </w:rPr>
            </w:pPr>
          </w:p>
        </w:tc>
        <w:tc>
          <w:tcPr>
            <w:tcW w:w="1134" w:type="dxa"/>
          </w:tcPr>
          <w:p>
            <w:pPr>
              <w:spacing w:line="360" w:lineRule="auto"/>
              <w:rPr>
                <w:rFonts w:ascii="宋体" w:hAnsi="宋体"/>
                <w:kern w:val="0"/>
                <w:sz w:val="24"/>
                <w:szCs w:val="24"/>
              </w:rPr>
            </w:pPr>
          </w:p>
        </w:tc>
        <w:tc>
          <w:tcPr>
            <w:tcW w:w="1418" w:type="dxa"/>
          </w:tcPr>
          <w:p>
            <w:pPr>
              <w:spacing w:line="360" w:lineRule="auto"/>
              <w:rPr>
                <w:rFonts w:ascii="宋体" w:hAnsi="宋体"/>
                <w:kern w:val="0"/>
                <w:sz w:val="24"/>
                <w:szCs w:val="24"/>
              </w:rPr>
            </w:pPr>
          </w:p>
        </w:tc>
        <w:tc>
          <w:tcPr>
            <w:tcW w:w="1134" w:type="dxa"/>
          </w:tcPr>
          <w:p>
            <w:pPr>
              <w:spacing w:line="360" w:lineRule="auto"/>
              <w:rPr>
                <w:rFonts w:ascii="宋体" w:hAnsi="宋体"/>
                <w:kern w:val="0"/>
                <w:sz w:val="24"/>
                <w:szCs w:val="24"/>
              </w:rPr>
            </w:pPr>
          </w:p>
        </w:tc>
      </w:tr>
    </w:tbl>
    <w:p>
      <w:pPr>
        <w:pStyle w:val="70"/>
        <w:numPr>
          <w:ilvl w:val="0"/>
          <w:numId w:val="1"/>
        </w:numPr>
        <w:ind w:firstLine="424" w:firstLineChars="202"/>
      </w:pPr>
      <w:r>
        <w:rPr>
          <w:rFonts w:hint="eastAsia" w:ascii="宋体" w:hAnsi="宋体"/>
          <w:kern w:val="0"/>
          <w:szCs w:val="21"/>
        </w:rPr>
        <w:t>注：档号、保管期限可暂不填写。文件号根据电子会计资料的类别分别填写电子会计凭证号、电子会计账簿号或电子财务会计报告号。电子会计凭证题名填写摘要；电子会计账簿题名填写“会计期间+账簿类别”；其他电子会计资料题名填写其题名。电子文件名填写电子会计资料的计算机文件名（含扩展名）。</w:t>
      </w:r>
    </w:p>
    <w:p>
      <w:pPr>
        <w:rPr>
          <w:rFonts w:hint="eastAsia"/>
        </w:rPr>
      </w:pPr>
    </w:p>
    <w:p>
      <w:pPr>
        <w:pStyle w:val="58"/>
        <w:spacing w:beforeLines="0" w:afterLines="0"/>
        <w:outlineLvl w:val="0"/>
        <w:rPr>
          <w:rFonts w:hint="eastAsia" w:hAnsi="黑体"/>
          <w:lang w:val="de-DE"/>
        </w:rPr>
      </w:pPr>
      <w:r>
        <w:rPr>
          <w:rFonts w:hint="eastAsia" w:hAnsi="黑体"/>
          <w:lang w:val="de-DE"/>
        </w:rPr>
        <w:t>F2.电子会计资料存储结构图</w:t>
      </w:r>
    </w:p>
    <w:p>
      <w:pPr>
        <w:pStyle w:val="70"/>
        <w:numPr>
          <w:ilvl w:val="0"/>
          <w:numId w:val="1"/>
        </w:numPr>
        <w:ind w:firstLineChars="0"/>
        <w:rPr>
          <w:rFonts w:hint="eastAsia"/>
        </w:rPr>
      </w:pPr>
      <w:r>
        <w:pict>
          <v:group id="_x0000_s2054" o:spid="_x0000_s2054" o:spt="203" style="height:331.4pt;width:415.3pt;" coordorigin="1800,8375" coordsize="8306,6628" editas="canvas">
            <o:lock v:ext="edit"/>
            <v:shape id="_x0000_s2051" o:spid="_x0000_s2051" o:spt="75" type="#_x0000_t75" style="position:absolute;left:1800;top:8375;height:6628;width:8306;" filled="f" o:preferrelative="f" stroked="f" coordsize="21600,21600">
              <v:path/>
              <v:fill on="f" focussize="0,0"/>
              <v:stroke on="f" joinstyle="miter"/>
              <v:imagedata o:title=""/>
              <o:lock v:ext="edit" text="t" aspectratio="t"/>
            </v:shape>
            <v:shape id="_x0000_s2055" o:spid="_x0000_s2055" o:spt="115" type="#_x0000_t115" style="position:absolute;left:2106;top:8521;height:764;width:1048;" coordsize="21600,21600">
              <v:path/>
              <v:fill focussize="0,0"/>
              <v:stroke joinstyle="miter"/>
              <v:imagedata o:title=""/>
              <o:lock v:ext="edit"/>
              <v:textbox>
                <w:txbxContent>
                  <w:p>
                    <w:pPr>
                      <w:adjustRightInd w:val="0"/>
                      <w:snapToGrid w:val="0"/>
                      <w:jc w:val="center"/>
                      <w:rPr>
                        <w:sz w:val="15"/>
                        <w:szCs w:val="15"/>
                      </w:rPr>
                    </w:pPr>
                    <w:r>
                      <w:rPr>
                        <w:sz w:val="15"/>
                        <w:szCs w:val="15"/>
                      </w:rPr>
                      <w:t>2020</w:t>
                    </w:r>
                    <w:r>
                      <w:rPr>
                        <w:rFonts w:hint="eastAsia"/>
                        <w:sz w:val="15"/>
                        <w:szCs w:val="15"/>
                      </w:rPr>
                      <w:t>年</w:t>
                    </w:r>
                  </w:p>
                  <w:p>
                    <w:pPr>
                      <w:adjustRightInd w:val="0"/>
                      <w:snapToGrid w:val="0"/>
                      <w:jc w:val="center"/>
                      <w:rPr>
                        <w:sz w:val="15"/>
                        <w:szCs w:val="15"/>
                      </w:rPr>
                    </w:pPr>
                    <w:r>
                      <w:rPr>
                        <w:rFonts w:hint="eastAsia"/>
                        <w:sz w:val="15"/>
                        <w:szCs w:val="15"/>
                      </w:rPr>
                      <w:t>会计档案</w:t>
                    </w:r>
                  </w:p>
                </w:txbxContent>
              </v:textbox>
            </v:shape>
            <v:shape id="_x0000_s2056" o:spid="_x0000_s2056" o:spt="121" type="#_x0000_t121" style="position:absolute;left:5706;top:8597;height:610;width:477;" coordsize="21600,21600">
              <v:path/>
              <v:fill focussize="0,0"/>
              <v:stroke joinstyle="miter"/>
              <v:imagedata o:title=""/>
              <o:lock v:ext="edit"/>
            </v:shape>
            <v:shape id="_x0000_s2057" o:spid="_x0000_s2057" o:spt="202" type="#_x0000_t202" style="position:absolute;left:6386;top:8672;height:418;width:1404;" stroked="f" coordsize="21600,21600">
              <v:path/>
              <v:fill focussize="0,0"/>
              <v:stroke on="f" joinstyle="miter"/>
              <v:imagedata o:title=""/>
              <o:lock v:ext="edit"/>
              <v:textbox>
                <w:txbxContent>
                  <w:p>
                    <w:pPr>
                      <w:rPr>
                        <w:sz w:val="18"/>
                        <w:szCs w:val="18"/>
                      </w:rPr>
                    </w:pPr>
                    <w:r>
                      <w:rPr>
                        <w:rFonts w:hint="eastAsia"/>
                        <w:sz w:val="18"/>
                        <w:szCs w:val="18"/>
                      </w:rPr>
                      <w:t>说明文件</w:t>
                    </w:r>
                    <w:r>
                      <w:rPr>
                        <w:sz w:val="18"/>
                        <w:szCs w:val="18"/>
                      </w:rPr>
                      <w:t>.txt</w:t>
                    </w:r>
                    <w:r>
                      <w:rPr>
                        <w:rFonts w:hint="eastAsia"/>
                        <w:sz w:val="18"/>
                        <w:szCs w:val="18"/>
                      </w:rPr>
                      <w:t xml:space="preserve"> </w:t>
                    </w:r>
                  </w:p>
                </w:txbxContent>
              </v:textbox>
            </v:shape>
            <v:shape id="_x0000_s2058" o:spid="_x0000_s2058" o:spt="121" type="#_x0000_t121" style="position:absolute;left:5662;top:9382;height:611;width:477;" coordsize="21600,21600">
              <v:path/>
              <v:fill focussize="0,0"/>
              <v:stroke joinstyle="miter"/>
              <v:imagedata o:title=""/>
              <o:lock v:ext="edit"/>
            </v:shape>
            <v:shape id="_x0000_s2059" o:spid="_x0000_s2059" o:spt="202" type="#_x0000_t202" style="position:absolute;left:6409;top:9496;height:419;width:3472;" stroked="f" coordsize="21600,21600">
              <v:path/>
              <v:fill focussize="0,0"/>
              <v:stroke on="f" joinstyle="miter"/>
              <v:imagedata o:title=""/>
              <o:lock v:ext="edit"/>
              <v:textbox>
                <w:txbxContent>
                  <w:p>
                    <w:pPr>
                      <w:rPr>
                        <w:sz w:val="18"/>
                        <w:szCs w:val="18"/>
                      </w:rPr>
                    </w:pPr>
                    <w:r>
                      <w:rPr>
                        <w:rFonts w:hint="eastAsia"/>
                        <w:sz w:val="18"/>
                        <w:szCs w:val="18"/>
                      </w:rPr>
                      <w:t xml:space="preserve">目录文件（电子会计资料登记表）.XLS </w:t>
                    </w:r>
                  </w:p>
                </w:txbxContent>
              </v:textbox>
            </v:shape>
            <v:shape id="_x0000_s2060" o:spid="_x0000_s2060" o:spt="115" type="#_x0000_t115" style="position:absolute;left:5658;top:10159;height:589;width:1047;"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会计档案</w:t>
                    </w:r>
                  </w:p>
                </w:txbxContent>
              </v:textbox>
            </v:shape>
            <v:shape id="_x0000_s2061" o:spid="_x0000_s2061" o:spt="115" type="#_x0000_t115" style="position:absolute;left:5833;top:12165;height:764;width:1048;"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1月</w:t>
                    </w:r>
                  </w:p>
                  <w:p>
                    <w:pPr>
                      <w:adjustRightInd w:val="0"/>
                      <w:snapToGrid w:val="0"/>
                      <w:jc w:val="center"/>
                      <w:rPr>
                        <w:sz w:val="15"/>
                        <w:szCs w:val="15"/>
                      </w:rPr>
                    </w:pPr>
                    <w:r>
                      <w:rPr>
                        <w:rFonts w:hint="eastAsia"/>
                        <w:sz w:val="15"/>
                        <w:szCs w:val="15"/>
                      </w:rPr>
                      <w:t>会计凭证</w:t>
                    </w:r>
                  </w:p>
                </w:txbxContent>
              </v:textbox>
            </v:shape>
            <v:shape id="_x0000_s2062" o:spid="_x0000_s2062" o:spt="115" type="#_x0000_t115" style="position:absolute;left:7104;top:12164;height:765;width:1047;"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2月</w:t>
                    </w:r>
                  </w:p>
                  <w:p>
                    <w:pPr>
                      <w:adjustRightInd w:val="0"/>
                      <w:snapToGrid w:val="0"/>
                      <w:jc w:val="center"/>
                      <w:rPr>
                        <w:sz w:val="15"/>
                        <w:szCs w:val="15"/>
                      </w:rPr>
                    </w:pPr>
                    <w:r>
                      <w:rPr>
                        <w:rFonts w:hint="eastAsia"/>
                        <w:sz w:val="15"/>
                        <w:szCs w:val="15"/>
                      </w:rPr>
                      <w:t>会计凭证</w:t>
                    </w:r>
                  </w:p>
                </w:txbxContent>
              </v:textbox>
            </v:shape>
            <v:shape id="_x0000_s2063" o:spid="_x0000_s2063" o:spt="115" type="#_x0000_t115" style="position:absolute;left:9002;top:12165;height:765;width:1047;"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12月</w:t>
                    </w:r>
                  </w:p>
                  <w:p>
                    <w:pPr>
                      <w:adjustRightInd w:val="0"/>
                      <w:snapToGrid w:val="0"/>
                      <w:jc w:val="center"/>
                      <w:rPr>
                        <w:sz w:val="15"/>
                        <w:szCs w:val="15"/>
                      </w:rPr>
                    </w:pPr>
                    <w:r>
                      <w:rPr>
                        <w:rFonts w:hint="eastAsia"/>
                        <w:sz w:val="15"/>
                        <w:szCs w:val="15"/>
                      </w:rPr>
                      <w:t>会计凭证</w:t>
                    </w:r>
                  </w:p>
                </w:txbxContent>
              </v:textbox>
            </v:shape>
            <v:shape id="_x0000_s2064" o:spid="_x0000_s2064" o:spt="202" type="#_x0000_t202" style="position:absolute;left:8202;top:12243;height:367;width:671;" stroked="f" coordsize="21600,21600">
              <v:path/>
              <v:fill focussize="0,0"/>
              <v:stroke on="f" joinstyle="miter"/>
              <v:imagedata o:title=""/>
              <o:lock v:ext="edit"/>
              <v:textbox>
                <w:txbxContent>
                  <w:p>
                    <w:pPr>
                      <w:rPr>
                        <w:sz w:val="18"/>
                        <w:szCs w:val="18"/>
                      </w:rPr>
                    </w:pPr>
                    <w:r>
                      <w:rPr>
                        <w:sz w:val="18"/>
                        <w:szCs w:val="18"/>
                      </w:rPr>
                      <w:t>……</w:t>
                    </w:r>
                    <w:r>
                      <w:rPr>
                        <w:rFonts w:hint="eastAsia"/>
                        <w:sz w:val="18"/>
                        <w:szCs w:val="18"/>
                      </w:rPr>
                      <w:t xml:space="preserve"> </w:t>
                    </w:r>
                  </w:p>
                </w:txbxContent>
              </v:textbox>
            </v:shape>
            <v:shape id="_x0000_s2065" o:spid="_x0000_s2065" o:spt="115" type="#_x0000_t115" style="position:absolute;left:2106;top:11045;height:765;width:1047;"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报表类</w:t>
                    </w:r>
                  </w:p>
                  <w:p>
                    <w:pPr>
                      <w:adjustRightInd w:val="0"/>
                      <w:snapToGrid w:val="0"/>
                      <w:jc w:val="center"/>
                      <w:rPr>
                        <w:sz w:val="15"/>
                        <w:szCs w:val="15"/>
                      </w:rPr>
                    </w:pPr>
                    <w:r>
                      <w:rPr>
                        <w:rFonts w:hint="eastAsia"/>
                        <w:sz w:val="15"/>
                        <w:szCs w:val="15"/>
                      </w:rPr>
                      <w:t>会计档案</w:t>
                    </w:r>
                  </w:p>
                </w:txbxContent>
              </v:textbox>
            </v:shape>
            <v:shape id="_x0000_s2066" o:spid="_x0000_s2066" o:spt="115" type="#_x0000_t115" style="position:absolute;left:4055;top:11045;height:765;width:1049;"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账簿类</w:t>
                    </w:r>
                  </w:p>
                  <w:p>
                    <w:pPr>
                      <w:adjustRightInd w:val="0"/>
                      <w:snapToGrid w:val="0"/>
                      <w:jc w:val="center"/>
                      <w:rPr>
                        <w:sz w:val="15"/>
                        <w:szCs w:val="15"/>
                      </w:rPr>
                    </w:pPr>
                    <w:r>
                      <w:rPr>
                        <w:rFonts w:hint="eastAsia"/>
                        <w:sz w:val="15"/>
                        <w:szCs w:val="15"/>
                      </w:rPr>
                      <w:t>会计档案</w:t>
                    </w:r>
                  </w:p>
                </w:txbxContent>
              </v:textbox>
            </v:shape>
            <v:shape id="_x0000_s2067" o:spid="_x0000_s2067" o:spt="115" type="#_x0000_t115" style="position:absolute;left:6418;top:11045;height:765;width:1047;"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凭证类</w:t>
                    </w:r>
                  </w:p>
                  <w:p>
                    <w:pPr>
                      <w:adjustRightInd w:val="0"/>
                      <w:snapToGrid w:val="0"/>
                      <w:jc w:val="center"/>
                      <w:rPr>
                        <w:sz w:val="15"/>
                        <w:szCs w:val="15"/>
                      </w:rPr>
                    </w:pPr>
                    <w:r>
                      <w:rPr>
                        <w:rFonts w:hint="eastAsia"/>
                        <w:sz w:val="15"/>
                        <w:szCs w:val="15"/>
                      </w:rPr>
                      <w:t>会计档案</w:t>
                    </w:r>
                  </w:p>
                </w:txbxContent>
              </v:textbox>
            </v:shape>
            <v:shape id="_x0000_s2068" o:spid="_x0000_s2068" o:spt="115" type="#_x0000_t115" style="position:absolute;left:8840;top:11046;height:765;width:1048;"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其他</w:t>
                    </w:r>
                  </w:p>
                  <w:p>
                    <w:pPr>
                      <w:adjustRightInd w:val="0"/>
                      <w:snapToGrid w:val="0"/>
                      <w:jc w:val="center"/>
                      <w:rPr>
                        <w:sz w:val="15"/>
                        <w:szCs w:val="15"/>
                      </w:rPr>
                    </w:pPr>
                    <w:r>
                      <w:rPr>
                        <w:rFonts w:hint="eastAsia"/>
                        <w:sz w:val="15"/>
                        <w:szCs w:val="15"/>
                      </w:rPr>
                      <w:t>会计档案</w:t>
                    </w:r>
                  </w:p>
                </w:txbxContent>
              </v:textbox>
            </v:shape>
            <v:shape id="_x0000_s2069" o:spid="_x0000_s2069" o:spt="114" type="#_x0000_t114" style="position:absolute;left:5858;top:13213;height:567;width:998;" coordsize="21600,21600">
              <v:path/>
              <v:fill focussize="0,0"/>
              <v:stroke joinstyle="miter"/>
              <v:imagedata o:title=""/>
              <o:lock v:ext="edit"/>
              <v:textbox>
                <w:txbxContent>
                  <w:p>
                    <w:pPr>
                      <w:rPr>
                        <w:sz w:val="15"/>
                        <w:szCs w:val="15"/>
                      </w:rPr>
                    </w:pPr>
                    <w:r>
                      <w:rPr>
                        <w:rFonts w:hint="eastAsia"/>
                        <w:sz w:val="15"/>
                        <w:szCs w:val="15"/>
                      </w:rPr>
                      <w:t>凭证号1</w:t>
                    </w:r>
                  </w:p>
                </w:txbxContent>
              </v:textbox>
            </v:shape>
            <v:shape id="_x0000_s2070" o:spid="_x0000_s2070" o:spt="114" type="#_x0000_t114" style="position:absolute;left:7202;top:13212;height:568;width:1000;" coordsize="21600,21600">
              <v:path/>
              <v:fill focussize="0,0"/>
              <v:stroke joinstyle="miter"/>
              <v:imagedata o:title=""/>
              <o:lock v:ext="edit"/>
              <v:textbox>
                <w:txbxContent>
                  <w:p>
                    <w:r>
                      <w:rPr>
                        <w:rFonts w:hint="eastAsia"/>
                        <w:sz w:val="15"/>
                        <w:szCs w:val="15"/>
                      </w:rPr>
                      <w:t>凭证号1</w:t>
                    </w:r>
                  </w:p>
                </w:txbxContent>
              </v:textbox>
            </v:shape>
            <v:shape id="_x0000_s2071" o:spid="_x0000_s2071" o:spt="114" type="#_x0000_t114" style="position:absolute;left:9002;top:13211;height:569;width:999;" coordsize="21600,21600">
              <v:path/>
              <v:fill focussize="0,0"/>
              <v:stroke joinstyle="miter"/>
              <v:imagedata o:title=""/>
              <o:lock v:ext="edit"/>
              <v:textbox>
                <w:txbxContent>
                  <w:p>
                    <w:r>
                      <w:rPr>
                        <w:rFonts w:hint="eastAsia"/>
                        <w:sz w:val="15"/>
                        <w:szCs w:val="15"/>
                      </w:rPr>
                      <w:t>凭证号n</w:t>
                    </w:r>
                  </w:p>
                </w:txbxContent>
              </v:textbox>
            </v:shape>
            <v:shape id="_x0000_s2072" o:spid="_x0000_s2072" o:spt="121" type="#_x0000_t121" style="position:absolute;left:5927;top:14108;height:598;width:856;v-text-anchor:middle;" coordsize="21600,21600">
              <v:path/>
              <v:fill focussize="0,0"/>
              <v:stroke joinstyle="miter"/>
              <v:imagedata o:title=""/>
              <o:lock v:ext="edit"/>
              <v:textbox inset="0.5mm,1mm,0.5mm,0.3mm">
                <w:txbxContent>
                  <w:p>
                    <w:pPr>
                      <w:jc w:val="center"/>
                      <w:rPr>
                        <w:sz w:val="15"/>
                        <w:szCs w:val="15"/>
                      </w:rPr>
                    </w:pPr>
                    <w:r>
                      <w:rPr>
                        <w:rFonts w:hint="eastAsia"/>
                        <w:sz w:val="15"/>
                        <w:szCs w:val="15"/>
                      </w:rPr>
                      <w:t>记账凭证</w:t>
                    </w:r>
                  </w:p>
                </w:txbxContent>
              </v:textbox>
            </v:shape>
            <v:shape id="_x0000_s2073" o:spid="_x0000_s2073" o:spt="121" type="#_x0000_t121" style="position:absolute;left:7023;top:14106;height:600;width:856;v-text-anchor:middle;" coordsize="21600,21600">
              <v:path/>
              <v:fill focussize="0,0"/>
              <v:stroke joinstyle="miter"/>
              <v:imagedata o:title=""/>
              <o:lock v:ext="edit"/>
              <v:textbox inset="0.5mm,1mm,0.5mm,0.3mm">
                <w:txbxContent>
                  <w:p>
                    <w:pPr>
                      <w:jc w:val="center"/>
                      <w:rPr>
                        <w:sz w:val="15"/>
                        <w:szCs w:val="15"/>
                      </w:rPr>
                    </w:pPr>
                    <w:r>
                      <w:rPr>
                        <w:rFonts w:hint="eastAsia"/>
                        <w:sz w:val="15"/>
                        <w:szCs w:val="15"/>
                      </w:rPr>
                      <w:t>报销凭证</w:t>
                    </w:r>
                  </w:p>
                </w:txbxContent>
              </v:textbox>
            </v:shape>
            <v:shape id="_x0000_s2074" o:spid="_x0000_s2074" o:spt="121" type="#_x0000_t121" style="position:absolute;left:8068;top:14106;height:598;width:856;v-text-anchor:middle;" coordsize="21600,21600">
              <v:path/>
              <v:fill focussize="0,0"/>
              <v:stroke joinstyle="miter"/>
              <v:imagedata o:title=""/>
              <o:lock v:ext="edit"/>
              <v:textbox inset="0.5mm,1mm,0.5mm,0.3mm">
                <w:txbxContent>
                  <w:p>
                    <w:pPr>
                      <w:jc w:val="center"/>
                      <w:rPr>
                        <w:sz w:val="15"/>
                        <w:szCs w:val="15"/>
                      </w:rPr>
                    </w:pPr>
                    <w:r>
                      <w:rPr>
                        <w:rFonts w:hint="eastAsia"/>
                        <w:sz w:val="15"/>
                        <w:szCs w:val="15"/>
                      </w:rPr>
                      <w:t>电子发票</w:t>
                    </w:r>
                  </w:p>
                </w:txbxContent>
              </v:textbox>
            </v:shape>
            <v:shape id="_x0000_s2075" o:spid="_x0000_s2075" o:spt="121" type="#_x0000_t121" style="position:absolute;left:9086;top:14106;height:598;width:856;v-text-anchor:middle;" coordsize="21600,21600">
              <v:path/>
              <v:fill focussize="0,0"/>
              <v:stroke joinstyle="miter"/>
              <v:imagedata o:title=""/>
              <o:lock v:ext="edit"/>
              <v:textbox inset="0.5mm,1mm,0.5mm,0.3mm">
                <w:txbxContent>
                  <w:p>
                    <w:pPr>
                      <w:jc w:val="center"/>
                      <w:rPr>
                        <w:sz w:val="15"/>
                        <w:szCs w:val="15"/>
                      </w:rPr>
                    </w:pPr>
                    <w:r>
                      <w:rPr>
                        <w:rFonts w:hint="eastAsia"/>
                        <w:sz w:val="15"/>
                        <w:szCs w:val="15"/>
                      </w:rPr>
                      <w:t>其他凭证</w:t>
                    </w:r>
                  </w:p>
                </w:txbxContent>
              </v:textbox>
            </v:shape>
            <v:shape id="_x0000_s2076" o:spid="_x0000_s2076" o:spt="34" type="#_x0000_t34" style="position:absolute;left:3154;top:8902;flip:y;height:1;width:2552;" o:connectortype="elbow" filled="f" coordsize="21600,21600" adj=",98949600,-26695">
              <v:path arrowok="t"/>
              <v:fill on="f" focussize="0,0"/>
              <v:stroke joinstyle="miter"/>
              <v:imagedata o:title=""/>
              <o:lock v:ext="edit"/>
            </v:shape>
            <v:shape id="_x0000_s2077" o:spid="_x0000_s2077" o:spt="34" type="#_x0000_t34" style="position:absolute;left:3154;top:8903;height:785;width:2508;" o:connectortype="elbow" filled="f" coordsize="21600,21600" adj=",-126050,-27164">
              <v:path arrowok="t"/>
              <v:fill on="f" focussize="0,0"/>
              <v:stroke joinstyle="miter"/>
              <v:imagedata o:title=""/>
              <o:lock v:ext="edit"/>
            </v:shape>
            <v:shape id="_x0000_s2078" o:spid="_x0000_s2078" o:spt="34" type="#_x0000_t34" style="position:absolute;left:3154;top:8903;height:1551;width:2504;" o:connectortype="elbow" filled="f" coordsize="21600,21600" adj=",-63797,-27207">
              <v:path arrowok="t"/>
              <v:fill on="f" focussize="0,0"/>
              <v:stroke joinstyle="miter"/>
              <v:imagedata o:title=""/>
              <o:lock v:ext="edit"/>
            </v:shape>
            <v:shape id="_x0000_s2079" o:spid="_x0000_s2079" o:spt="34" type="#_x0000_t34" style="position:absolute;left:4234;top:9097;height:3552;width:344;rotation:5898240f;" o:connectortype="elbow" filled="f" coordsize="21600,21600" adj="12244,-38791,-388172">
              <v:path arrowok="t"/>
              <v:fill on="f" focussize="0,0"/>
              <v:stroke joinstyle="miter"/>
              <v:imagedata o:title=""/>
              <o:lock v:ext="edit"/>
            </v:shape>
            <v:shape id="_x0000_s2080" o:spid="_x0000_s2080" o:spt="34" type="#_x0000_t34" style="position:absolute;left:5209;top:10072;height:1602;width:344;rotation:5898240f;" o:connectortype="elbow" filled="f" coordsize="21600,21600" adj="12244,-86009,-388172">
              <v:path arrowok="t"/>
              <v:fill on="f" focussize="0,0"/>
              <v:stroke joinstyle="miter"/>
              <v:imagedata o:title=""/>
              <o:lock v:ext="edit"/>
            </v:shape>
            <v:shape id="_x0000_s2081" o:spid="_x0000_s2081" o:spt="34" type="#_x0000_t34" style="position:absolute;left:6390;top:10493;flip:x;height:760;width:344;rotation:5898240f;" o:connectortype="elbow" filled="f" coordsize="21600,21600" adj="12244,181298,-388172">
              <v:path arrowok="t"/>
              <v:fill on="f" focussize="0,0"/>
              <v:stroke joinstyle="miter"/>
              <v:imagedata o:title=""/>
              <o:lock v:ext="edit"/>
            </v:shape>
            <v:shape id="_x0000_s2082" o:spid="_x0000_s2082" o:spt="34" type="#_x0000_t34" style="position:absolute;left:7600;top:9283;flip:x;height:3182;width:345;rotation:5898240f;" o:connectortype="elbow" filled="f" coordsize="21600,21600" adj="12209,43302,-387047">
              <v:path arrowok="t"/>
              <v:fill on="f" focussize="0,0"/>
              <v:stroke joinstyle="miter"/>
              <v:imagedata o:title=""/>
              <o:lock v:ext="edit"/>
            </v:shape>
            <v:shape id="_x0000_s2083" o:spid="_x0000_s2083" o:spt="34" type="#_x0000_t34" style="position:absolute;left:6442;top:11664;height:585;width:416;rotation:5898240f;" o:connectortype="elbow" filled="f" coordsize="21600,21600" adj="12358,-274228,-360450">
              <v:path arrowok="t"/>
              <v:fill on="f" focussize="0,0"/>
              <v:stroke joinstyle="miter"/>
              <v:imagedata o:title=""/>
              <o:lock v:ext="edit"/>
            </v:shape>
            <v:shape id="_x0000_s2084" o:spid="_x0000_s2084" o:spt="34" type="#_x0000_t34" style="position:absolute;left:7077;top:11614;flip:x;height:686;width:415;rotation:5898240f;" o:connectortype="elbow" filled="f" coordsize="21600,21600" adj="12335,233853,-361319">
              <v:path arrowok="t"/>
              <v:fill on="f" focussize="0,0"/>
              <v:stroke joinstyle="miter"/>
              <v:imagedata o:title=""/>
              <o:lock v:ext="edit"/>
            </v:shape>
            <v:shape id="_x0000_s2085" o:spid="_x0000_s2085" o:spt="34" type="#_x0000_t34" style="position:absolute;left:8026;top:10665;flip:x;height:2584;width:416;rotation:5898240f;" o:connectortype="elbow" filled="f" coordsize="21600,21600" adj="12358,62083,-360450">
              <v:path arrowok="t"/>
              <v:fill on="f" focussize="0,0"/>
              <v:stroke joinstyle="miter"/>
              <v:imagedata o:title=""/>
              <o:lock v:ext="edit"/>
            </v:shape>
            <v:shape id="_x0000_s2086" o:spid="_x0000_s2086" o:spt="32" type="#_x0000_t32" style="position:absolute;left:6186;top:13040;height:1;width:344;rotation:5898240f;" o:connectortype="elbow" filled="f" coordsize="21600,21600" adj="-399160,-1,-399160">
              <v:path arrowok="t"/>
              <v:fill on="f" focussize="0,0"/>
              <v:stroke/>
              <v:imagedata o:title=""/>
              <o:lock v:ext="edit"/>
            </v:shape>
            <v:shape id="_x0000_s2087" o:spid="_x0000_s2087" o:spt="34" type="#_x0000_t34" style="position:absolute;left:6858;top:12368;flip:x;height:1345;width:343;rotation:5898240f;" o:connectortype="elbow" filled="f" coordsize="21600,21600" adj="12658,137260,-400324">
              <v:path arrowok="t"/>
              <v:fill on="f" focussize="0,0"/>
              <v:stroke joinstyle="miter"/>
              <v:imagedata o:title=""/>
              <o:lock v:ext="edit"/>
            </v:shape>
            <v:shape id="_x0000_s2088" o:spid="_x0000_s2088" o:spt="34" type="#_x0000_t34" style="position:absolute;left:7759;top:11467;flip:x;height:3145;width:342;rotation:5898240f;" o:connectortype="elbow" filled="f" coordsize="21600,21600" adj="12695,58701,-401495">
              <v:path arrowok="t"/>
              <v:fill on="f" focussize="0,0"/>
              <v:stroke joinstyle="miter"/>
              <v:imagedata o:title=""/>
              <o:lock v:ext="edit"/>
            </v:shape>
            <v:shape id="_x0000_s2089" o:spid="_x0000_s2089" o:spt="202" type="#_x0000_t202" style="position:absolute;left:8287;top:13287;height:367;width:671;" stroked="f" coordsize="21600,21600">
              <v:path/>
              <v:fill focussize="0,0"/>
              <v:stroke on="f" joinstyle="miter"/>
              <v:imagedata o:title=""/>
              <o:lock v:ext="edit"/>
              <v:textbox>
                <w:txbxContent>
                  <w:p>
                    <w:pPr>
                      <w:rPr>
                        <w:sz w:val="18"/>
                        <w:szCs w:val="18"/>
                      </w:rPr>
                    </w:pPr>
                    <w:r>
                      <w:rPr>
                        <w:sz w:val="18"/>
                        <w:szCs w:val="18"/>
                      </w:rPr>
                      <w:t>……</w:t>
                    </w:r>
                    <w:r>
                      <w:rPr>
                        <w:rFonts w:hint="eastAsia"/>
                        <w:sz w:val="18"/>
                        <w:szCs w:val="18"/>
                      </w:rPr>
                      <w:t xml:space="preserve"> </w:t>
                    </w:r>
                  </w:p>
                </w:txbxContent>
              </v:textbox>
            </v:shape>
            <v:shape id="_x0000_s2090" o:spid="_x0000_s2090" o:spt="34" type="#_x0000_t34" style="position:absolute;left:6176;top:13928;height:2;width:359;rotation:5898240f;" o:connectortype="elbow" filled="f" coordsize="21600,21600" adj="11672,-101811600,-382482">
              <v:path arrowok="t"/>
              <v:fill on="f" focussize="0,0"/>
              <v:stroke joinstyle="miter"/>
              <v:imagedata o:title=""/>
              <o:lock v:ext="edit"/>
            </v:shape>
            <v:shape id="_x0000_s2091" o:spid="_x0000_s2091" o:spt="34" type="#_x0000_t34" style="position:absolute;left:6725;top:13381;flip:x;height:1094;width:357;rotation:5898240f;" o:connectortype="elbow" filled="f" coordsize="21600,21600" adj="11677,186127,-384625">
              <v:path arrowok="t"/>
              <v:fill on="f" focussize="0,0"/>
              <v:stroke joinstyle="miter"/>
              <v:imagedata o:title=""/>
              <o:lock v:ext="edit"/>
            </v:shape>
            <v:shape id="_x0000_s2092" o:spid="_x0000_s2092" o:spt="34" type="#_x0000_t34" style="position:absolute;left:7248;top:12858;flip:x;height:2139;width:357;rotation:5898240f;" o:connectortype="elbow" filled="f" coordsize="21600,21600" adj="11677,95196,-384625">
              <v:path arrowok="t"/>
              <v:fill on="f" focussize="0,0"/>
              <v:stroke joinstyle="miter"/>
              <v:imagedata o:title=""/>
              <o:lock v:ext="edit"/>
            </v:shape>
            <v:shape id="_x0000_s2093" o:spid="_x0000_s2093" o:spt="34" type="#_x0000_t34" style="position:absolute;left:7757;top:12349;flip:x;height:3157;width:357;rotation:5898240f;" o:connectortype="elbow" filled="f" coordsize="21600,21600" adj="11677,64499,-384625">
              <v:path arrowok="t"/>
              <v:fill on="f" focussize="0,0"/>
              <v:stroke joinstyle="miter"/>
              <v:imagedata o:title=""/>
              <o:lock v:ext="edit"/>
            </v:shape>
            <v:shape id="_x0000_s2094" o:spid="_x0000_s2094" o:spt="202" type="#_x0000_t202" style="position:absolute;left:3758;top:12039;height:1359;width:1377;" stroked="f" coordsize="21600,21600">
              <v:path/>
              <v:fill focussize="0,0"/>
              <v:stroke on="f" joinstyle="miter"/>
              <v:imagedata o:title=""/>
              <o:lock v:ext="edit"/>
              <v:textbox>
                <w:txbxContent>
                  <w:p>
                    <w:pPr>
                      <w:rPr>
                        <w:sz w:val="18"/>
                        <w:szCs w:val="18"/>
                      </w:rPr>
                    </w:pPr>
                    <w:r>
                      <w:rPr>
                        <w:rFonts w:hint="eastAsia"/>
                        <w:sz w:val="18"/>
                        <w:szCs w:val="18"/>
                      </w:rPr>
                      <w:t>电子账簿可按照本单位会计档案分类方案设置文件夹</w:t>
                    </w:r>
                  </w:p>
                </w:txbxContent>
              </v:textbox>
            </v:shape>
            <v:shape id="_x0000_s2095" o:spid="_x0000_s2095" o:spt="202" type="#_x0000_t202" style="position:absolute;left:1932;top:12069;height:1772;width:1377;" stroked="f" coordsize="21600,21600">
              <v:path/>
              <v:fill focussize="0,0"/>
              <v:stroke on="f" joinstyle="miter"/>
              <v:imagedata o:title=""/>
              <o:lock v:ext="edit"/>
              <v:textbox>
                <w:txbxContent>
                  <w:p>
                    <w:pPr>
                      <w:rPr>
                        <w:sz w:val="18"/>
                        <w:szCs w:val="18"/>
                      </w:rPr>
                    </w:pPr>
                    <w:r>
                      <w:rPr>
                        <w:rFonts w:hint="eastAsia"/>
                        <w:sz w:val="18"/>
                        <w:szCs w:val="18"/>
                      </w:rPr>
                      <w:t>电子会计报表可按照本单位会计档案分类方案设置文件夹</w:t>
                    </w:r>
                  </w:p>
                </w:txbxContent>
              </v:textbox>
            </v:shape>
            <w10:wrap type="none"/>
            <w10:anchorlock/>
          </v:group>
        </w:pict>
      </w:r>
    </w:p>
    <w:p>
      <w:pPr>
        <w:pStyle w:val="58"/>
        <w:spacing w:beforeLines="0" w:afterLines="0"/>
        <w:outlineLvl w:val="0"/>
        <w:rPr>
          <w:rFonts w:hint="eastAsia" w:hAnsi="黑体"/>
          <w:lang w:val="de-DE"/>
        </w:rPr>
      </w:pPr>
    </w:p>
    <w:p>
      <w:pPr>
        <w:pStyle w:val="58"/>
        <w:spacing w:beforeLines="0" w:afterLines="0"/>
        <w:outlineLvl w:val="0"/>
        <w:rPr>
          <w:rFonts w:hAnsi="黑体"/>
          <w:lang w:val="de-DE"/>
        </w:rPr>
      </w:pPr>
      <w:r>
        <w:rPr>
          <w:rFonts w:hint="eastAsia" w:hAnsi="黑体"/>
          <w:lang w:val="de-DE"/>
        </w:rPr>
        <w:t>F3.电子会计凭证存储结构图</w:t>
      </w:r>
    </w:p>
    <w:p>
      <w:pPr>
        <w:wordWrap w:val="0"/>
        <w:rPr>
          <w:rFonts w:hint="default"/>
          <w:color w:val="auto"/>
          <w:szCs w:val="21"/>
          <w:highlight w:val="none"/>
          <w:lang w:val="en-US" w:eastAsia="zh-CN"/>
        </w:rPr>
      </w:pPr>
      <w:r>
        <w:pict>
          <v:group id="_x0000_s2096" o:spid="_x0000_s2096" o:spt="203" style="height:249.05pt;width:415.3pt;" coordorigin="1800,8375" coordsize="8306,4981" editas="canvas">
            <o:lock v:ext="edit"/>
            <v:shape id="_x0000_s2094" o:spid="_x0000_s2094" o:spt="75" type="#_x0000_t75" style="position:absolute;left:1800;top:8375;height:4981;width:8306;" filled="f" o:preferrelative="f" stroked="f" coordsize="21600,21600">
              <v:path/>
              <v:fill on="f" focussize="0,0"/>
              <v:stroke on="f" joinstyle="miter"/>
              <v:imagedata o:title=""/>
              <o:lock v:ext="edit" text="t" aspectratio="t"/>
            </v:shape>
            <v:shape id="_x0000_s2097" o:spid="_x0000_s2097" o:spt="115" type="#_x0000_t115" style="position:absolute;left:2106;top:8521;height:764;width:1048;" coordsize="21600,21600">
              <v:path/>
              <v:fill focussize="0,0"/>
              <v:stroke joinstyle="miter"/>
              <v:imagedata o:title=""/>
              <o:lock v:ext="edit"/>
              <v:textbox>
                <w:txbxContent>
                  <w:p>
                    <w:pPr>
                      <w:adjustRightInd w:val="0"/>
                      <w:snapToGrid w:val="0"/>
                      <w:jc w:val="center"/>
                      <w:rPr>
                        <w:sz w:val="15"/>
                        <w:szCs w:val="15"/>
                      </w:rPr>
                    </w:pPr>
                    <w:r>
                      <w:rPr>
                        <w:sz w:val="15"/>
                        <w:szCs w:val="15"/>
                      </w:rPr>
                      <w:t>2020</w:t>
                    </w:r>
                    <w:r>
                      <w:rPr>
                        <w:rFonts w:hint="eastAsia"/>
                        <w:sz w:val="15"/>
                        <w:szCs w:val="15"/>
                      </w:rPr>
                      <w:t>年</w:t>
                    </w:r>
                  </w:p>
                  <w:p>
                    <w:pPr>
                      <w:adjustRightInd w:val="0"/>
                      <w:snapToGrid w:val="0"/>
                      <w:jc w:val="center"/>
                      <w:rPr>
                        <w:sz w:val="15"/>
                        <w:szCs w:val="15"/>
                      </w:rPr>
                    </w:pPr>
                    <w:r>
                      <w:rPr>
                        <w:rFonts w:hint="eastAsia"/>
                        <w:sz w:val="15"/>
                        <w:szCs w:val="15"/>
                      </w:rPr>
                      <w:t>会计档案</w:t>
                    </w:r>
                  </w:p>
                </w:txbxContent>
              </v:textbox>
            </v:shape>
            <v:shape id="_x0000_s2098" o:spid="_x0000_s2098" o:spt="121" type="#_x0000_t121" style="position:absolute;left:5706;top:8597;height:610;width:477;" coordsize="21600,21600">
              <v:path/>
              <v:fill focussize="0,0"/>
              <v:stroke joinstyle="miter"/>
              <v:imagedata o:title=""/>
              <o:lock v:ext="edit"/>
            </v:shape>
            <v:shape id="_x0000_s2099" o:spid="_x0000_s2099" o:spt="202" type="#_x0000_t202" style="position:absolute;left:6386;top:8672;height:418;width:1404;" stroked="f" coordsize="21600,21600">
              <v:path/>
              <v:fill focussize="0,0"/>
              <v:stroke on="f" joinstyle="miter"/>
              <v:imagedata o:title=""/>
              <o:lock v:ext="edit"/>
              <v:textbox>
                <w:txbxContent>
                  <w:p>
                    <w:pPr>
                      <w:adjustRightInd w:val="0"/>
                      <w:snapToGrid w:val="0"/>
                      <w:rPr>
                        <w:sz w:val="18"/>
                        <w:szCs w:val="18"/>
                      </w:rPr>
                    </w:pPr>
                    <w:r>
                      <w:rPr>
                        <w:rFonts w:hint="eastAsia"/>
                        <w:sz w:val="18"/>
                        <w:szCs w:val="18"/>
                      </w:rPr>
                      <w:t xml:space="preserve">说明文件.txt </w:t>
                    </w:r>
                  </w:p>
                </w:txbxContent>
              </v:textbox>
            </v:shape>
            <v:shape id="_x0000_s2100" o:spid="_x0000_s2100" o:spt="121" type="#_x0000_t121" style="position:absolute;left:5662;top:9382;height:611;width:477;" coordsize="21600,21600">
              <v:path/>
              <v:fill focussize="0,0"/>
              <v:stroke joinstyle="miter"/>
              <v:imagedata o:title=""/>
              <o:lock v:ext="edit"/>
            </v:shape>
            <v:shape id="_x0000_s2101" o:spid="_x0000_s2101" o:spt="202" type="#_x0000_t202" style="position:absolute;left:6419;top:9496;height:419;width:3511;" stroked="f" coordsize="21600,21600">
              <v:path/>
              <v:fill focussize="0,0"/>
              <v:stroke on="f" joinstyle="miter"/>
              <v:imagedata o:title=""/>
              <o:lock v:ext="edit"/>
              <v:textbox>
                <w:txbxContent>
                  <w:p>
                    <w:pPr>
                      <w:rPr>
                        <w:sz w:val="18"/>
                        <w:szCs w:val="18"/>
                      </w:rPr>
                    </w:pPr>
                    <w:r>
                      <w:rPr>
                        <w:rFonts w:hint="eastAsia"/>
                        <w:sz w:val="18"/>
                        <w:szCs w:val="18"/>
                      </w:rPr>
                      <w:t xml:space="preserve">目录文件（电子会计资料登记表）.XLS </w:t>
                    </w:r>
                  </w:p>
                  <w:p>
                    <w:pPr>
                      <w:adjustRightInd w:val="0"/>
                      <w:snapToGrid w:val="0"/>
                      <w:rPr>
                        <w:sz w:val="18"/>
                        <w:szCs w:val="18"/>
                      </w:rPr>
                    </w:pPr>
                  </w:p>
                </w:txbxContent>
              </v:textbox>
            </v:shape>
            <v:shape id="_x0000_s2102" o:spid="_x0000_s2102" o:spt="115" type="#_x0000_t115" style="position:absolute;left:5658;top:10159;height:589;width:1047;"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会计档案</w:t>
                    </w:r>
                  </w:p>
                </w:txbxContent>
              </v:textbox>
            </v:shape>
            <v:shape id="_x0000_s2103" o:spid="_x0000_s2103" o:spt="115" type="#_x0000_t115" style="position:absolute;left:2965;top:11164;height:764;width:1048;"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卷（册）1</w:t>
                    </w:r>
                  </w:p>
                  <w:p>
                    <w:pPr>
                      <w:adjustRightInd w:val="0"/>
                      <w:snapToGrid w:val="0"/>
                      <w:jc w:val="center"/>
                      <w:rPr>
                        <w:sz w:val="15"/>
                        <w:szCs w:val="15"/>
                      </w:rPr>
                    </w:pPr>
                    <w:r>
                      <w:rPr>
                        <w:rFonts w:hint="eastAsia"/>
                        <w:sz w:val="15"/>
                        <w:szCs w:val="15"/>
                      </w:rPr>
                      <w:t>会计凭证</w:t>
                    </w:r>
                  </w:p>
                </w:txbxContent>
              </v:textbox>
            </v:shape>
            <v:shape id="_x0000_s2104" o:spid="_x0000_s2104" o:spt="115" type="#_x0000_t115" style="position:absolute;left:5230;top:11155;height:765;width:1047;"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卷（册）2</w:t>
                    </w:r>
                  </w:p>
                  <w:p>
                    <w:pPr>
                      <w:adjustRightInd w:val="0"/>
                      <w:snapToGrid w:val="0"/>
                      <w:jc w:val="center"/>
                      <w:rPr>
                        <w:sz w:val="15"/>
                        <w:szCs w:val="15"/>
                      </w:rPr>
                    </w:pPr>
                    <w:r>
                      <w:rPr>
                        <w:rFonts w:hint="eastAsia"/>
                        <w:sz w:val="15"/>
                        <w:szCs w:val="15"/>
                      </w:rPr>
                      <w:t>会计凭证</w:t>
                    </w:r>
                  </w:p>
                </w:txbxContent>
              </v:textbox>
            </v:shape>
            <v:shape id="_x0000_s2105" o:spid="_x0000_s2105" o:spt="115" type="#_x0000_t115" style="position:absolute;left:8161;top:11164;height:765;width:1047;" coordsize="21600,21600">
              <v:path/>
              <v:fill focussize="0,0"/>
              <v:stroke joinstyle="miter"/>
              <v:imagedata o:title=""/>
              <o:lock v:ext="edit"/>
              <v:textbox>
                <w:txbxContent>
                  <w:p>
                    <w:pPr>
                      <w:adjustRightInd w:val="0"/>
                      <w:snapToGrid w:val="0"/>
                      <w:jc w:val="center"/>
                      <w:rPr>
                        <w:sz w:val="15"/>
                        <w:szCs w:val="15"/>
                      </w:rPr>
                    </w:pPr>
                    <w:r>
                      <w:rPr>
                        <w:rFonts w:hint="eastAsia"/>
                        <w:sz w:val="15"/>
                        <w:szCs w:val="15"/>
                      </w:rPr>
                      <w:t>卷（册）n</w:t>
                    </w:r>
                  </w:p>
                  <w:p>
                    <w:pPr>
                      <w:adjustRightInd w:val="0"/>
                      <w:snapToGrid w:val="0"/>
                      <w:jc w:val="center"/>
                      <w:rPr>
                        <w:sz w:val="15"/>
                        <w:szCs w:val="15"/>
                      </w:rPr>
                    </w:pPr>
                    <w:r>
                      <w:rPr>
                        <w:rFonts w:hint="eastAsia"/>
                        <w:sz w:val="15"/>
                        <w:szCs w:val="15"/>
                      </w:rPr>
                      <w:t>会计凭证</w:t>
                    </w:r>
                  </w:p>
                </w:txbxContent>
              </v:textbox>
            </v:shape>
            <v:shape id="_x0000_s2106" o:spid="_x0000_s2106" o:spt="202" type="#_x0000_t202" style="position:absolute;left:6952;top:11292;height:367;width:671;" stroked="f" coordsize="21600,21600">
              <v:path/>
              <v:fill focussize="0,0"/>
              <v:stroke on="f" joinstyle="miter"/>
              <v:imagedata o:title=""/>
              <o:lock v:ext="edit"/>
              <v:textbox>
                <w:txbxContent>
                  <w:p>
                    <w:pPr>
                      <w:adjustRightInd w:val="0"/>
                      <w:snapToGrid w:val="0"/>
                      <w:rPr>
                        <w:sz w:val="18"/>
                        <w:szCs w:val="18"/>
                      </w:rPr>
                    </w:pPr>
                    <w:r>
                      <w:rPr>
                        <w:sz w:val="18"/>
                        <w:szCs w:val="18"/>
                      </w:rPr>
                      <w:t>……</w:t>
                    </w:r>
                    <w:r>
                      <w:rPr>
                        <w:rFonts w:hint="eastAsia"/>
                        <w:sz w:val="18"/>
                        <w:szCs w:val="18"/>
                      </w:rPr>
                      <w:t xml:space="preserve"> </w:t>
                    </w:r>
                  </w:p>
                </w:txbxContent>
              </v:textbox>
            </v:shape>
            <v:shape id="_x0000_s2107" o:spid="_x0000_s2107" o:spt="114" type="#_x0000_t114" style="position:absolute;left:2988;top:12316;height:681;width:1000;" coordsize="21600,21600">
              <v:path/>
              <v:fill focussize="0,0"/>
              <v:stroke joinstyle="miter"/>
              <v:imagedata o:title=""/>
              <o:lock v:ext="edit"/>
              <v:textbox>
                <w:txbxContent>
                  <w:p>
                    <w:pPr>
                      <w:adjustRightInd w:val="0"/>
                      <w:snapToGrid w:val="0"/>
                    </w:pPr>
                    <w:r>
                      <w:rPr>
                        <w:rFonts w:hint="eastAsia"/>
                        <w:sz w:val="15"/>
                        <w:szCs w:val="15"/>
                      </w:rPr>
                      <w:t>编号1电子发票</w:t>
                    </w:r>
                  </w:p>
                </w:txbxContent>
              </v:textbox>
            </v:shape>
            <v:shape id="_x0000_s2108" o:spid="_x0000_s2108" o:spt="34" type="#_x0000_t34" style="position:absolute;left:3154;top:8902;flip:y;height:1;width:2552;" o:connectortype="elbow" filled="f" coordsize="21600,21600" adj=",42616800,-26695">
              <v:path arrowok="t"/>
              <v:fill on="f" focussize="0,0"/>
              <v:stroke joinstyle="miter"/>
              <v:imagedata o:title=""/>
              <o:lock v:ext="edit"/>
            </v:shape>
            <v:shape id="_x0000_s2109" o:spid="_x0000_s2109" o:spt="34" type="#_x0000_t34" style="position:absolute;left:3154;top:8903;height:785;width:2508;" o:connectortype="elbow" filled="f" coordsize="21600,21600" adj=",-54289,-27164">
              <v:path arrowok="t"/>
              <v:fill on="f" focussize="0,0"/>
              <v:stroke joinstyle="miter"/>
              <v:imagedata o:title=""/>
              <o:lock v:ext="edit"/>
            </v:shape>
            <v:shape id="_x0000_s2110" o:spid="_x0000_s2110" o:spt="34" type="#_x0000_t34" style="position:absolute;left:3154;top:8903;height:1551;width:2504;" o:connectortype="elbow" filled="f" coordsize="21600,21600" adj=",-27477,-27207">
              <v:path arrowok="t"/>
              <v:fill on="f" focussize="0,0"/>
              <v:stroke joinstyle="miter"/>
              <v:imagedata o:title=""/>
              <o:lock v:ext="edit"/>
            </v:shape>
            <v:shape id="_x0000_s2111" o:spid="_x0000_s2111" o:spt="34" type="#_x0000_t34" style="position:absolute;left:4604;top:9586;height:2693;width:463;rotation:5898240f;" o:connectortype="elbow" filled="f" coordsize="21600,21600" adj="11850,-30246,-288404">
              <v:path arrowok="t"/>
              <v:fill on="f" focussize="0,0"/>
              <v:stroke joinstyle="miter"/>
              <v:imagedata o:title=""/>
              <o:lock v:ext="edit"/>
            </v:shape>
            <v:shape id="_x0000_s2112" o:spid="_x0000_s2112" o:spt="34" type="#_x0000_t34" style="position:absolute;left:5741;top:10714;height:428;width:454;rotation:5898240f;" o:connectortype="elbow" filled="f" coordsize="21600,21600" adj="11894,-190312,-294122">
              <v:path arrowok="t"/>
              <v:fill on="f" focussize="0,0"/>
              <v:stroke joinstyle="miter"/>
              <v:imagedata o:title=""/>
              <o:lock v:ext="edit"/>
            </v:shape>
            <v:shape id="_x0000_s2113" o:spid="_x0000_s2113" o:spt="34" type="#_x0000_t34" style="position:absolute;left:7202;top:9681;flip:x;height:2503;width:463;rotation:5898240f;" o:connectortype="elbow" filled="f" coordsize="21600,21600" adj="11850,32542,-288404">
              <v:path arrowok="t"/>
              <v:fill on="f" focussize="0,0"/>
              <v:stroke joinstyle="miter"/>
              <v:imagedata o:title=""/>
              <o:lock v:ext="edit"/>
            </v:shape>
            <v:shape id="_x0000_s2114" o:spid="_x0000_s2114" o:spt="202" type="#_x0000_t202" style="position:absolute;left:7119;top:12409;height:367;width:671;" stroked="f" coordsize="21600,21600">
              <v:path/>
              <v:fill focussize="0,0"/>
              <v:stroke on="f" joinstyle="miter"/>
              <v:imagedata o:title=""/>
              <o:lock v:ext="edit"/>
              <v:textbox>
                <w:txbxContent>
                  <w:p>
                    <w:pPr>
                      <w:adjustRightInd w:val="0"/>
                      <w:snapToGrid w:val="0"/>
                      <w:rPr>
                        <w:sz w:val="18"/>
                        <w:szCs w:val="18"/>
                      </w:rPr>
                    </w:pPr>
                    <w:r>
                      <w:rPr>
                        <w:sz w:val="18"/>
                        <w:szCs w:val="18"/>
                      </w:rPr>
                      <w:t>……</w:t>
                    </w:r>
                    <w:r>
                      <w:rPr>
                        <w:rFonts w:hint="eastAsia"/>
                        <w:sz w:val="18"/>
                        <w:szCs w:val="18"/>
                      </w:rPr>
                      <w:t xml:space="preserve"> </w:t>
                    </w:r>
                  </w:p>
                </w:txbxContent>
              </v:textbox>
            </v:shape>
            <v:shape id="_x0000_s2115" o:spid="_x0000_s2115" o:spt="114" type="#_x0000_t114" style="position:absolute;left:8117;top:12323;height:681;width:1000;" coordsize="21600,21600">
              <v:path/>
              <v:fill focussize="0,0"/>
              <v:stroke joinstyle="miter"/>
              <v:imagedata o:title=""/>
              <o:lock v:ext="edit"/>
              <v:textbox>
                <w:txbxContent>
                  <w:p>
                    <w:pPr>
                      <w:adjustRightInd w:val="0"/>
                      <w:snapToGrid w:val="0"/>
                    </w:pPr>
                    <w:r>
                      <w:rPr>
                        <w:rFonts w:hint="eastAsia"/>
                        <w:sz w:val="15"/>
                        <w:szCs w:val="15"/>
                      </w:rPr>
                      <w:t>编号n电子发票</w:t>
                    </w:r>
                  </w:p>
                </w:txbxContent>
              </v:textbox>
            </v:shape>
            <v:shape id="_x0000_s2116" o:spid="_x0000_s2116" o:spt="114" type="#_x0000_t114" style="position:absolute;left:5139;top:12331;height:681;width:1000;" coordsize="21600,21600">
              <v:path/>
              <v:fill focussize="0,0"/>
              <v:stroke joinstyle="miter"/>
              <v:imagedata o:title=""/>
              <o:lock v:ext="edit"/>
              <v:textbox>
                <w:txbxContent>
                  <w:p>
                    <w:pPr>
                      <w:adjustRightInd w:val="0"/>
                      <w:snapToGrid w:val="0"/>
                    </w:pPr>
                    <w:r>
                      <w:rPr>
                        <w:rFonts w:hint="eastAsia"/>
                        <w:sz w:val="15"/>
                        <w:szCs w:val="15"/>
                      </w:rPr>
                      <w:t>编号2电子发票</w:t>
                    </w:r>
                  </w:p>
                </w:txbxContent>
              </v:textbox>
            </v:shape>
            <v:shape id="_x0000_s2117" o:spid="_x0000_s2117" o:spt="34" type="#_x0000_t34" style="position:absolute;left:3265;top:12091;height:1;width:448;rotation:5898240f;" o:connectortype="elbow" filled="f" coordsize="21600,21600" adj="12246,-106660800,-168220">
              <v:path arrowok="t"/>
              <v:fill on="f" focussize="0,0"/>
              <v:stroke joinstyle="miter"/>
              <v:imagedata o:title=""/>
              <o:lock v:ext="edit"/>
            </v:shape>
            <v:shape id="_x0000_s2118" o:spid="_x0000_s2118" o:spt="34" type="#_x0000_t34" style="position:absolute;left:4332;top:11025;flip:x;height:2150;width:463;rotation:5898240f;" o:connectortype="elbow" filled="f" coordsize="21600,21600" adj="12176,49610,-162770">
              <v:path arrowok="t"/>
              <v:fill on="f" focussize="0,0"/>
              <v:stroke joinstyle="miter"/>
              <v:imagedata o:title=""/>
              <o:lock v:ext="edit"/>
            </v:shape>
            <v:shape id="_x0000_s2119" o:spid="_x0000_s2119" o:spt="34" type="#_x0000_t34" style="position:absolute;left:5825;top:9532;flip:x;height:5128;width:455;rotation:5898240f;" o:connectortype="elbow" filled="f" coordsize="21600,21600" adj="12200,20800,-165632">
              <v:path arrowok="t"/>
              <v:fill on="f" focussize="0,0"/>
              <v:stroke joinstyle="miter"/>
              <v:imagedata o:title=""/>
              <o:lock v:ext="edit"/>
            </v:shape>
            <w10:wrap type="none"/>
            <w10:anchorlock/>
          </v:group>
        </w:pi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Light">
    <w:altName w:val="华文仿宋"/>
    <w:panose1 w:val="02010600030101010101"/>
    <w:charset w:val="00"/>
    <w:family w:val="auto"/>
    <w:pitch w:val="default"/>
    <w:sig w:usb0="00000000" w:usb1="00000000" w:usb2="00000016" w:usb3="00000000" w:csb0="0004000F" w:csb1="00000000"/>
  </w:font>
  <w:font w:name="Cambria">
    <w:altName w:val="FreeSerif"/>
    <w:panose1 w:val="02040503050406030204"/>
    <w:charset w:val="00"/>
    <w:family w:val="roman"/>
    <w:pitch w:val="default"/>
    <w:sig w:usb0="00000000" w:usb1="00000000" w:usb2="02000000" w:usb3="00000000" w:csb0="0000019F" w:csb1="00000000"/>
  </w:font>
  <w:font w:name="Cambria Math">
    <w:altName w:val="FreeSerif"/>
    <w:panose1 w:val="02040503050406030204"/>
    <w:charset w:val="00"/>
    <w:family w:val="roman"/>
    <w:pitch w:val="default"/>
    <w:sig w:usb0="00000000" w:usb1="00000000" w:usb2="02000000" w:usb3="00000000" w:csb0="0000019F"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Tahoma">
    <w:altName w:val="Droid Sans"/>
    <w:panose1 w:val="020B0604030504040204"/>
    <w:charset w:val="00"/>
    <w:family w:val="swiss"/>
    <w:pitch w:val="default"/>
    <w:sig w:usb0="00000000" w:usb1="00000000" w:usb2="00000029" w:usb3="00000000" w:csb0="000101F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FreeSerif">
    <w:panose1 w:val="02020603050405020304"/>
    <w:charset w:val="00"/>
    <w:family w:val="auto"/>
    <w:pitch w:val="default"/>
    <w:sig w:usb0="E59FAFFF" w:usb1="C200FDFF" w:usb2="43501B29" w:usb3="04000043" w:csb0="600101FF" w:csb1="FFFF0000"/>
  </w:font>
  <w:font w:name="DejaVu Math TeX Gyre">
    <w:panose1 w:val="02000503000000000000"/>
    <w:charset w:val="00"/>
    <w:family w:val="auto"/>
    <w:pitch w:val="default"/>
    <w:sig w:usb0="A10000EF" w:usb1="4201F9EE" w:usb2="02000000" w:usb3="00000000" w:csb0="60000193" w:csb1="0DD4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1514110"/>
    </w:sdtPr>
    <w:sdtContent>
      <w:p>
        <w:pPr>
          <w:pStyle w:val="16"/>
          <w:jc w:val="center"/>
        </w:pPr>
        <w:r>
          <w:fldChar w:fldCharType="begin"/>
        </w:r>
        <w:r>
          <w:instrText xml:space="preserve"> PAGE   \* MERGEFORMAT </w:instrText>
        </w:r>
        <w:r>
          <w:fldChar w:fldCharType="separate"/>
        </w:r>
        <w:r>
          <w:rPr>
            <w:lang w:val="zh-CN"/>
          </w:rPr>
          <w:t>14</w:t>
        </w:r>
        <w:r>
          <w:rPr>
            <w:lang w:val="zh-CN"/>
          </w:rP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fldChar w:fldCharType="begin"/>
    </w:r>
    <w:r>
      <w:instrText xml:space="preserve"> PAGE  \* MERGEFORMAT </w:instrText>
    </w:r>
    <w:r>
      <w:fldChar w:fldCharType="separate"/>
    </w:r>
    <w:r>
      <w:t>II</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0D4FE0"/>
    <w:multiLevelType w:val="multilevel"/>
    <w:tmpl w:val="0A0D4FE0"/>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0C055974"/>
    <w:multiLevelType w:val="multilevel"/>
    <w:tmpl w:val="0C055974"/>
    <w:lvl w:ilvl="0" w:tentative="0">
      <w:start w:val="1"/>
      <w:numFmt w:val="lowerLetter"/>
      <w:lvlText w:val="%1)"/>
      <w:lvlJc w:val="left"/>
      <w:pPr>
        <w:tabs>
          <w:tab w:val="left" w:pos="0"/>
        </w:tabs>
        <w:ind w:left="420" w:firstLine="0"/>
      </w:pPr>
      <w:rPr>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29C29FE"/>
    <w:multiLevelType w:val="multilevel"/>
    <w:tmpl w:val="129C29FE"/>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3E85591"/>
    <w:multiLevelType w:val="multilevel"/>
    <w:tmpl w:val="13E85591"/>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157B56DF"/>
    <w:multiLevelType w:val="multilevel"/>
    <w:tmpl w:val="157B56DF"/>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16A56A99"/>
    <w:multiLevelType w:val="multilevel"/>
    <w:tmpl w:val="16A56A99"/>
    <w:lvl w:ilvl="0" w:tentative="0">
      <w:start w:val="1"/>
      <w:numFmt w:val="decimal"/>
      <w:lvlText w:val="%1"/>
      <w:lvlJc w:val="left"/>
      <w:pPr>
        <w:ind w:left="850" w:hanging="425"/>
      </w:pPr>
      <w:rPr>
        <w:rFonts w:hint="eastAsia"/>
      </w:rPr>
    </w:lvl>
    <w:lvl w:ilvl="1" w:tentative="0">
      <w:start w:val="1"/>
      <w:numFmt w:val="decimal"/>
      <w:lvlText w:val="A%1.%2"/>
      <w:lvlJc w:val="left"/>
      <w:pPr>
        <w:ind w:left="1417" w:hanging="567"/>
      </w:pPr>
      <w:rPr>
        <w:rFonts w:hint="eastAsia"/>
      </w:rPr>
    </w:lvl>
    <w:lvl w:ilvl="2" w:tentative="0">
      <w:start w:val="1"/>
      <w:numFmt w:val="decimal"/>
      <w:lvlText w:val="A%1.%2.%3"/>
      <w:lvlJc w:val="left"/>
      <w:pPr>
        <w:ind w:left="0" w:firstLine="1276"/>
      </w:pPr>
      <w:rPr>
        <w:rFonts w:hint="eastAsia"/>
      </w:rPr>
    </w:lvl>
    <w:lvl w:ilvl="3" w:tentative="0">
      <w:start w:val="1"/>
      <w:numFmt w:val="decimal"/>
      <w:lvlText w:val="%1.%2.%3.%4"/>
      <w:lvlJc w:val="left"/>
      <w:pPr>
        <w:ind w:left="2409" w:hanging="708"/>
      </w:pPr>
      <w:rPr>
        <w:rFonts w:hint="eastAsia"/>
      </w:rPr>
    </w:lvl>
    <w:lvl w:ilvl="4" w:tentative="0">
      <w:start w:val="1"/>
      <w:numFmt w:val="decimal"/>
      <w:lvlText w:val="%1.%2.%3.%4.%5"/>
      <w:lvlJc w:val="left"/>
      <w:pPr>
        <w:ind w:left="2976" w:hanging="850"/>
      </w:pPr>
      <w:rPr>
        <w:rFonts w:hint="eastAsia"/>
      </w:rPr>
    </w:lvl>
    <w:lvl w:ilvl="5" w:tentative="0">
      <w:start w:val="1"/>
      <w:numFmt w:val="decimal"/>
      <w:lvlText w:val="%1.%2.%3.%4.%5.%6"/>
      <w:lvlJc w:val="left"/>
      <w:pPr>
        <w:ind w:left="3685" w:hanging="1134"/>
      </w:pPr>
      <w:rPr>
        <w:rFonts w:hint="eastAsia"/>
      </w:rPr>
    </w:lvl>
    <w:lvl w:ilvl="6" w:tentative="0">
      <w:start w:val="1"/>
      <w:numFmt w:val="decimal"/>
      <w:lvlText w:val="%1.%2.%3.%4.%5.%6.%7"/>
      <w:lvlJc w:val="left"/>
      <w:pPr>
        <w:ind w:left="4252" w:hanging="1276"/>
      </w:pPr>
      <w:rPr>
        <w:rFonts w:hint="eastAsia"/>
      </w:rPr>
    </w:lvl>
    <w:lvl w:ilvl="7" w:tentative="0">
      <w:start w:val="1"/>
      <w:numFmt w:val="decimal"/>
      <w:lvlText w:val="%1.%2.%3.%4.%5.%6.%7.%8"/>
      <w:lvlJc w:val="left"/>
      <w:pPr>
        <w:ind w:left="4819" w:hanging="1418"/>
      </w:pPr>
      <w:rPr>
        <w:rFonts w:hint="eastAsia"/>
      </w:rPr>
    </w:lvl>
    <w:lvl w:ilvl="8" w:tentative="0">
      <w:start w:val="1"/>
      <w:numFmt w:val="decimal"/>
      <w:lvlText w:val="%1.%2.%3.%4.%5.%6.%7.%8.%9"/>
      <w:lvlJc w:val="left"/>
      <w:pPr>
        <w:ind w:left="5527" w:hanging="1700"/>
      </w:pPr>
      <w:rPr>
        <w:rFonts w:hint="eastAsia"/>
      </w:rPr>
    </w:lvl>
  </w:abstractNum>
  <w:abstractNum w:abstractNumId="6">
    <w:nsid w:val="200054F6"/>
    <w:multiLevelType w:val="multilevel"/>
    <w:tmpl w:val="200054F6"/>
    <w:lvl w:ilvl="0" w:tentative="0">
      <w:start w:val="1"/>
      <w:numFmt w:val="lowerLetter"/>
      <w:lvlText w:val="%1)"/>
      <w:lvlJc w:val="left"/>
      <w:pPr>
        <w:tabs>
          <w:tab w:val="left" w:pos="0"/>
        </w:tabs>
        <w:ind w:left="420" w:firstLine="0"/>
      </w:pPr>
      <w:rPr>
        <w:rFonts w:hint="eastAsia"/>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pStyle w:val="71"/>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2F3F4651"/>
    <w:multiLevelType w:val="multilevel"/>
    <w:tmpl w:val="2F3F4651"/>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319308B5"/>
    <w:multiLevelType w:val="multilevel"/>
    <w:tmpl w:val="319308B5"/>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33533DDC"/>
    <w:multiLevelType w:val="multilevel"/>
    <w:tmpl w:val="33533DDC"/>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3A852F3D"/>
    <w:multiLevelType w:val="multilevel"/>
    <w:tmpl w:val="3A852F3D"/>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3EAA4FA6"/>
    <w:multiLevelType w:val="multilevel"/>
    <w:tmpl w:val="3EAA4FA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3EC07A29"/>
    <w:multiLevelType w:val="multilevel"/>
    <w:tmpl w:val="3EC07A29"/>
    <w:lvl w:ilvl="0" w:tentative="0">
      <w:start w:val="1"/>
      <w:numFmt w:val="lowerLetter"/>
      <w:lvlText w:val="%1)"/>
      <w:lvlJc w:val="left"/>
      <w:pPr>
        <w:tabs>
          <w:tab w:val="left" w:pos="0"/>
        </w:tabs>
        <w:ind w:left="420" w:firstLine="0"/>
      </w:pPr>
      <w:rPr>
        <w:rFonts w:hint="eastAsia"/>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49BF6708"/>
    <w:multiLevelType w:val="multilevel"/>
    <w:tmpl w:val="49BF670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50D250AE"/>
    <w:multiLevelType w:val="multilevel"/>
    <w:tmpl w:val="50D250AE"/>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51E21DF3"/>
    <w:multiLevelType w:val="multilevel"/>
    <w:tmpl w:val="51E21DF3"/>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55457139"/>
    <w:multiLevelType w:val="multilevel"/>
    <w:tmpl w:val="5545713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5C626487"/>
    <w:multiLevelType w:val="multilevel"/>
    <w:tmpl w:val="5C62648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5D125139"/>
    <w:multiLevelType w:val="multilevel"/>
    <w:tmpl w:val="5D12513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F5E56AC"/>
    <w:multiLevelType w:val="multilevel"/>
    <w:tmpl w:val="5F5E56AC"/>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F6D28C6"/>
    <w:multiLevelType w:val="multilevel"/>
    <w:tmpl w:val="5F6D28C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65E60785"/>
    <w:multiLevelType w:val="multilevel"/>
    <w:tmpl w:val="65E60785"/>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69D71B1F"/>
    <w:multiLevelType w:val="multilevel"/>
    <w:tmpl w:val="69D71B1F"/>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6A145BDF"/>
    <w:multiLevelType w:val="multilevel"/>
    <w:tmpl w:val="6A145BDF"/>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66"/>
      <w:suff w:val="nothing"/>
      <w:lvlText w:val="%1%2　"/>
      <w:lvlJc w:val="left"/>
      <w:pPr>
        <w:ind w:left="0" w:firstLine="0"/>
      </w:pPr>
      <w:rPr>
        <w:rFonts w:hint="eastAsia" w:ascii="黑体" w:eastAsia="黑体"/>
        <w:b w:val="0"/>
        <w:i w:val="0"/>
        <w:sz w:val="21"/>
      </w:rPr>
    </w:lvl>
    <w:lvl w:ilvl="2" w:tentative="0">
      <w:start w:val="1"/>
      <w:numFmt w:val="decimal"/>
      <w:pStyle w:val="6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5">
    <w:nsid w:val="708B53E2"/>
    <w:multiLevelType w:val="multilevel"/>
    <w:tmpl w:val="708B53E2"/>
    <w:lvl w:ilvl="0" w:tentative="0">
      <w:start w:val="1"/>
      <w:numFmt w:val="decimal"/>
      <w:lvlText w:val="M%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2EE6CDD"/>
    <w:multiLevelType w:val="multilevel"/>
    <w:tmpl w:val="72EE6CDD"/>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7">
    <w:nsid w:val="737F0AF5"/>
    <w:multiLevelType w:val="singleLevel"/>
    <w:tmpl w:val="737F0AF5"/>
    <w:lvl w:ilvl="0" w:tentative="0">
      <w:start w:val="1"/>
      <w:numFmt w:val="decimal"/>
      <w:suff w:val="nothing"/>
      <w:lvlText w:val="%1．"/>
      <w:lvlJc w:val="left"/>
    </w:lvl>
  </w:abstractNum>
  <w:abstractNum w:abstractNumId="28">
    <w:nsid w:val="73CF2DF9"/>
    <w:multiLevelType w:val="multilevel"/>
    <w:tmpl w:val="73CF2DF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9">
    <w:nsid w:val="73F97B28"/>
    <w:multiLevelType w:val="multilevel"/>
    <w:tmpl w:val="73F97B2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79847F1E"/>
    <w:multiLevelType w:val="multilevel"/>
    <w:tmpl w:val="79847F1E"/>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79F46169"/>
    <w:multiLevelType w:val="multilevel"/>
    <w:tmpl w:val="79F4616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4"/>
  </w:num>
  <w:num w:numId="2">
    <w:abstractNumId w:val="6"/>
  </w:num>
  <w:num w:numId="3">
    <w:abstractNumId w:val="27"/>
  </w:num>
  <w:num w:numId="4">
    <w:abstractNumId w:val="25"/>
  </w:num>
  <w:num w:numId="5">
    <w:abstractNumId w:val="12"/>
  </w:num>
  <w:num w:numId="6">
    <w:abstractNumId w:val="1"/>
  </w:num>
  <w:num w:numId="7">
    <w:abstractNumId w:val="5"/>
    <w:lvlOverride w:ilvl="0">
      <w:lvl w:ilvl="0" w:tentative="1">
        <w:start w:val="1"/>
        <w:numFmt w:val="decimal"/>
        <w:lvlText w:val="%1"/>
        <w:lvlJc w:val="left"/>
        <w:pPr>
          <w:ind w:left="850" w:hanging="425"/>
        </w:pPr>
        <w:rPr>
          <w:rFonts w:hint="eastAsia"/>
        </w:rPr>
      </w:lvl>
    </w:lvlOverride>
    <w:lvlOverride w:ilvl="1">
      <w:lvl w:ilvl="1" w:tentative="1">
        <w:start w:val="1"/>
        <w:numFmt w:val="decimal"/>
        <w:lvlText w:val="A.%1.%2"/>
        <w:lvlJc w:val="left"/>
        <w:pPr>
          <w:ind w:left="1417" w:hanging="567"/>
        </w:pPr>
        <w:rPr>
          <w:rFonts w:hint="eastAsia"/>
        </w:rPr>
      </w:lvl>
    </w:lvlOverride>
    <w:lvlOverride w:ilvl="2">
      <w:lvl w:ilvl="2" w:tentative="1">
        <w:start w:val="1"/>
        <w:numFmt w:val="none"/>
        <w:lvlText w:val="A.1.1"/>
        <w:lvlJc w:val="left"/>
        <w:pPr>
          <w:ind w:left="0" w:firstLine="1276"/>
        </w:pPr>
        <w:rPr>
          <w:rFonts w:hint="eastAsia"/>
        </w:rPr>
      </w:lvl>
    </w:lvlOverride>
    <w:lvlOverride w:ilvl="3">
      <w:lvl w:ilvl="3" w:tentative="1">
        <w:start w:val="1"/>
        <w:numFmt w:val="decimal"/>
        <w:lvlText w:val="%1.%2.%3.%4"/>
        <w:lvlJc w:val="left"/>
        <w:pPr>
          <w:ind w:left="2409" w:hanging="708"/>
        </w:pPr>
        <w:rPr>
          <w:rFonts w:hint="eastAsia"/>
        </w:rPr>
      </w:lvl>
    </w:lvlOverride>
    <w:lvlOverride w:ilvl="4">
      <w:lvl w:ilvl="4" w:tentative="1">
        <w:start w:val="1"/>
        <w:numFmt w:val="decimal"/>
        <w:lvlText w:val="%1.%2.%3.%4.%5"/>
        <w:lvlJc w:val="left"/>
        <w:pPr>
          <w:ind w:left="2976" w:hanging="850"/>
        </w:pPr>
        <w:rPr>
          <w:rFonts w:hint="eastAsia"/>
        </w:rPr>
      </w:lvl>
    </w:lvlOverride>
    <w:lvlOverride w:ilvl="5">
      <w:lvl w:ilvl="5" w:tentative="1">
        <w:start w:val="1"/>
        <w:numFmt w:val="decimal"/>
        <w:lvlText w:val="%1.%2.%3.%4.%5.%6"/>
        <w:lvlJc w:val="left"/>
        <w:pPr>
          <w:ind w:left="3685" w:hanging="1134"/>
        </w:pPr>
        <w:rPr>
          <w:rFonts w:hint="eastAsia"/>
        </w:rPr>
      </w:lvl>
    </w:lvlOverride>
    <w:lvlOverride w:ilvl="6">
      <w:lvl w:ilvl="6" w:tentative="1">
        <w:start w:val="1"/>
        <w:numFmt w:val="decimal"/>
        <w:lvlText w:val="%1.%2.%3.%4.%5.%6.%7"/>
        <w:lvlJc w:val="left"/>
        <w:pPr>
          <w:ind w:left="4252" w:hanging="1276"/>
        </w:pPr>
        <w:rPr>
          <w:rFonts w:hint="eastAsia"/>
        </w:rPr>
      </w:lvl>
    </w:lvlOverride>
    <w:lvlOverride w:ilvl="7">
      <w:lvl w:ilvl="7" w:tentative="1">
        <w:start w:val="1"/>
        <w:numFmt w:val="decimal"/>
        <w:lvlText w:val="%1.%2.%3.%4.%5.%6.%7.%8"/>
        <w:lvlJc w:val="left"/>
        <w:pPr>
          <w:ind w:left="4819" w:hanging="1418"/>
        </w:pPr>
        <w:rPr>
          <w:rFonts w:hint="eastAsia"/>
        </w:rPr>
      </w:lvl>
    </w:lvlOverride>
    <w:lvlOverride w:ilvl="8">
      <w:lvl w:ilvl="8" w:tentative="1">
        <w:start w:val="1"/>
        <w:numFmt w:val="decimal"/>
        <w:lvlText w:val="%1.%2.%3.%4.%5.%6.%7.%8.%9"/>
        <w:lvlJc w:val="left"/>
        <w:pPr>
          <w:ind w:left="5527" w:hanging="1700"/>
        </w:pPr>
        <w:rPr>
          <w:rFonts w:hint="eastAsia"/>
        </w:rPr>
      </w:lvl>
    </w:lvlOverride>
  </w:num>
  <w:num w:numId="8">
    <w:abstractNumId w:val="17"/>
  </w:num>
  <w:num w:numId="9">
    <w:abstractNumId w:val="0"/>
  </w:num>
  <w:num w:numId="10">
    <w:abstractNumId w:val="3"/>
  </w:num>
  <w:num w:numId="11">
    <w:abstractNumId w:val="14"/>
  </w:num>
  <w:num w:numId="12">
    <w:abstractNumId w:val="20"/>
  </w:num>
  <w:num w:numId="13">
    <w:abstractNumId w:val="11"/>
  </w:num>
  <w:num w:numId="14">
    <w:abstractNumId w:val="23"/>
  </w:num>
  <w:num w:numId="15">
    <w:abstractNumId w:val="30"/>
  </w:num>
  <w:num w:numId="16">
    <w:abstractNumId w:val="26"/>
  </w:num>
  <w:num w:numId="17">
    <w:abstractNumId w:val="10"/>
  </w:num>
  <w:num w:numId="18">
    <w:abstractNumId w:val="22"/>
  </w:num>
  <w:num w:numId="19">
    <w:abstractNumId w:val="13"/>
  </w:num>
  <w:num w:numId="20">
    <w:abstractNumId w:val="29"/>
  </w:num>
  <w:num w:numId="21">
    <w:abstractNumId w:val="31"/>
  </w:num>
  <w:num w:numId="22">
    <w:abstractNumId w:val="9"/>
  </w:num>
  <w:num w:numId="23">
    <w:abstractNumId w:val="8"/>
  </w:num>
  <w:num w:numId="24">
    <w:abstractNumId w:val="7"/>
  </w:num>
  <w:num w:numId="25">
    <w:abstractNumId w:val="21"/>
  </w:num>
  <w:num w:numId="26">
    <w:abstractNumId w:val="28"/>
  </w:num>
  <w:num w:numId="27">
    <w:abstractNumId w:val="18"/>
  </w:num>
  <w:num w:numId="28">
    <w:abstractNumId w:val="16"/>
  </w:num>
  <w:num w:numId="29">
    <w:abstractNumId w:val="15"/>
  </w:num>
  <w:num w:numId="30">
    <w:abstractNumId w:val="2"/>
  </w:num>
  <w:num w:numId="31">
    <w:abstractNumId w:val="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1607"/>
    <w:rsid w:val="00000AF1"/>
    <w:rsid w:val="00021611"/>
    <w:rsid w:val="00027317"/>
    <w:rsid w:val="00027FAC"/>
    <w:rsid w:val="00034673"/>
    <w:rsid w:val="00035612"/>
    <w:rsid w:val="00035FED"/>
    <w:rsid w:val="000469B1"/>
    <w:rsid w:val="000578EE"/>
    <w:rsid w:val="00060B99"/>
    <w:rsid w:val="00076E51"/>
    <w:rsid w:val="0007798B"/>
    <w:rsid w:val="000811E5"/>
    <w:rsid w:val="0008241F"/>
    <w:rsid w:val="000B6E5C"/>
    <w:rsid w:val="000D39FE"/>
    <w:rsid w:val="000D3CB3"/>
    <w:rsid w:val="000D3F37"/>
    <w:rsid w:val="000D5111"/>
    <w:rsid w:val="000E0F7C"/>
    <w:rsid w:val="000E6D83"/>
    <w:rsid w:val="000F1A11"/>
    <w:rsid w:val="000F4205"/>
    <w:rsid w:val="001047B7"/>
    <w:rsid w:val="00107628"/>
    <w:rsid w:val="00126285"/>
    <w:rsid w:val="001510BA"/>
    <w:rsid w:val="0015349A"/>
    <w:rsid w:val="001537B7"/>
    <w:rsid w:val="0015657B"/>
    <w:rsid w:val="00157CCF"/>
    <w:rsid w:val="001627A2"/>
    <w:rsid w:val="00163409"/>
    <w:rsid w:val="00163BEE"/>
    <w:rsid w:val="00180AA3"/>
    <w:rsid w:val="00194F10"/>
    <w:rsid w:val="0019614C"/>
    <w:rsid w:val="001A29FE"/>
    <w:rsid w:val="001A7782"/>
    <w:rsid w:val="001B5AB4"/>
    <w:rsid w:val="001C1E9E"/>
    <w:rsid w:val="001C71DE"/>
    <w:rsid w:val="001E6B52"/>
    <w:rsid w:val="001E7B61"/>
    <w:rsid w:val="001F038C"/>
    <w:rsid w:val="001F400F"/>
    <w:rsid w:val="00204D98"/>
    <w:rsid w:val="00205389"/>
    <w:rsid w:val="00211D8A"/>
    <w:rsid w:val="00215897"/>
    <w:rsid w:val="00215AD4"/>
    <w:rsid w:val="002373D9"/>
    <w:rsid w:val="00241FB1"/>
    <w:rsid w:val="002621FE"/>
    <w:rsid w:val="00275246"/>
    <w:rsid w:val="002764B3"/>
    <w:rsid w:val="002840A4"/>
    <w:rsid w:val="00292453"/>
    <w:rsid w:val="002A7849"/>
    <w:rsid w:val="002B5916"/>
    <w:rsid w:val="002C2D8B"/>
    <w:rsid w:val="002C63CA"/>
    <w:rsid w:val="002F013C"/>
    <w:rsid w:val="002F5A3B"/>
    <w:rsid w:val="0032653A"/>
    <w:rsid w:val="0033275B"/>
    <w:rsid w:val="003359AE"/>
    <w:rsid w:val="0033624B"/>
    <w:rsid w:val="003477BD"/>
    <w:rsid w:val="00350B9F"/>
    <w:rsid w:val="00351B1E"/>
    <w:rsid w:val="0035517C"/>
    <w:rsid w:val="00357AA2"/>
    <w:rsid w:val="0036074F"/>
    <w:rsid w:val="0036597C"/>
    <w:rsid w:val="0037284D"/>
    <w:rsid w:val="003825DE"/>
    <w:rsid w:val="003851E3"/>
    <w:rsid w:val="00395708"/>
    <w:rsid w:val="0039690D"/>
    <w:rsid w:val="00397610"/>
    <w:rsid w:val="003A0716"/>
    <w:rsid w:val="003B188E"/>
    <w:rsid w:val="003C5B18"/>
    <w:rsid w:val="003D3C1D"/>
    <w:rsid w:val="003D517F"/>
    <w:rsid w:val="003F0A71"/>
    <w:rsid w:val="00406AEC"/>
    <w:rsid w:val="00411E20"/>
    <w:rsid w:val="00414DCE"/>
    <w:rsid w:val="00435BCF"/>
    <w:rsid w:val="00442A8E"/>
    <w:rsid w:val="00443817"/>
    <w:rsid w:val="0045080C"/>
    <w:rsid w:val="004562DD"/>
    <w:rsid w:val="004656F1"/>
    <w:rsid w:val="00471467"/>
    <w:rsid w:val="00483C32"/>
    <w:rsid w:val="00494A2B"/>
    <w:rsid w:val="00494FF0"/>
    <w:rsid w:val="004A6746"/>
    <w:rsid w:val="004B3004"/>
    <w:rsid w:val="004B57D4"/>
    <w:rsid w:val="004C56FC"/>
    <w:rsid w:val="004D7128"/>
    <w:rsid w:val="004E63F5"/>
    <w:rsid w:val="004F1E91"/>
    <w:rsid w:val="004F6D8F"/>
    <w:rsid w:val="00506632"/>
    <w:rsid w:val="00515F82"/>
    <w:rsid w:val="00523542"/>
    <w:rsid w:val="00533571"/>
    <w:rsid w:val="0054593E"/>
    <w:rsid w:val="00556E8A"/>
    <w:rsid w:val="005651CD"/>
    <w:rsid w:val="00576B54"/>
    <w:rsid w:val="0057777E"/>
    <w:rsid w:val="005823DB"/>
    <w:rsid w:val="00593BB3"/>
    <w:rsid w:val="00594642"/>
    <w:rsid w:val="005A1C1D"/>
    <w:rsid w:val="005A480E"/>
    <w:rsid w:val="005A7411"/>
    <w:rsid w:val="005B1DBC"/>
    <w:rsid w:val="005C186A"/>
    <w:rsid w:val="005C4674"/>
    <w:rsid w:val="005C6554"/>
    <w:rsid w:val="005D03A5"/>
    <w:rsid w:val="005E175D"/>
    <w:rsid w:val="00602560"/>
    <w:rsid w:val="006026E0"/>
    <w:rsid w:val="00612D7A"/>
    <w:rsid w:val="006144CC"/>
    <w:rsid w:val="00615F06"/>
    <w:rsid w:val="006239B1"/>
    <w:rsid w:val="006323F7"/>
    <w:rsid w:val="006327E3"/>
    <w:rsid w:val="00633E72"/>
    <w:rsid w:val="00637EC6"/>
    <w:rsid w:val="00647FA1"/>
    <w:rsid w:val="006512D7"/>
    <w:rsid w:val="00657A7F"/>
    <w:rsid w:val="00662846"/>
    <w:rsid w:val="006812C2"/>
    <w:rsid w:val="006844BF"/>
    <w:rsid w:val="006A61CF"/>
    <w:rsid w:val="006B2151"/>
    <w:rsid w:val="006C07A9"/>
    <w:rsid w:val="006C27CD"/>
    <w:rsid w:val="006C5093"/>
    <w:rsid w:val="006C5B79"/>
    <w:rsid w:val="006D0171"/>
    <w:rsid w:val="006D4BEF"/>
    <w:rsid w:val="006E4122"/>
    <w:rsid w:val="006E5BB9"/>
    <w:rsid w:val="007028E3"/>
    <w:rsid w:val="007049A4"/>
    <w:rsid w:val="00706201"/>
    <w:rsid w:val="00714532"/>
    <w:rsid w:val="00732A5B"/>
    <w:rsid w:val="007424EE"/>
    <w:rsid w:val="00745236"/>
    <w:rsid w:val="00776447"/>
    <w:rsid w:val="0077730B"/>
    <w:rsid w:val="00786C0B"/>
    <w:rsid w:val="007A68D5"/>
    <w:rsid w:val="007B3328"/>
    <w:rsid w:val="007B3E85"/>
    <w:rsid w:val="007B4DE2"/>
    <w:rsid w:val="007B6096"/>
    <w:rsid w:val="007D2265"/>
    <w:rsid w:val="007E4F03"/>
    <w:rsid w:val="007F22EA"/>
    <w:rsid w:val="007F3267"/>
    <w:rsid w:val="007F5E75"/>
    <w:rsid w:val="00802A21"/>
    <w:rsid w:val="00810614"/>
    <w:rsid w:val="00826135"/>
    <w:rsid w:val="008408DC"/>
    <w:rsid w:val="00840D44"/>
    <w:rsid w:val="008567AD"/>
    <w:rsid w:val="00895C5E"/>
    <w:rsid w:val="008961A4"/>
    <w:rsid w:val="008967C4"/>
    <w:rsid w:val="00896F0E"/>
    <w:rsid w:val="008A2454"/>
    <w:rsid w:val="008A5079"/>
    <w:rsid w:val="008B1AEF"/>
    <w:rsid w:val="008B72AC"/>
    <w:rsid w:val="008D1F42"/>
    <w:rsid w:val="009002C1"/>
    <w:rsid w:val="00901DB1"/>
    <w:rsid w:val="0090788B"/>
    <w:rsid w:val="00910390"/>
    <w:rsid w:val="00927948"/>
    <w:rsid w:val="0093546C"/>
    <w:rsid w:val="00935562"/>
    <w:rsid w:val="00975239"/>
    <w:rsid w:val="009764BD"/>
    <w:rsid w:val="00984B66"/>
    <w:rsid w:val="009A171A"/>
    <w:rsid w:val="009A2F86"/>
    <w:rsid w:val="009B45AE"/>
    <w:rsid w:val="009D6AD2"/>
    <w:rsid w:val="009E37D1"/>
    <w:rsid w:val="009E382A"/>
    <w:rsid w:val="009E40AC"/>
    <w:rsid w:val="009E4948"/>
    <w:rsid w:val="00A04AC3"/>
    <w:rsid w:val="00A067C2"/>
    <w:rsid w:val="00A13707"/>
    <w:rsid w:val="00A179F0"/>
    <w:rsid w:val="00A37738"/>
    <w:rsid w:val="00A436F3"/>
    <w:rsid w:val="00A44EB9"/>
    <w:rsid w:val="00A811A8"/>
    <w:rsid w:val="00A826EF"/>
    <w:rsid w:val="00A9747B"/>
    <w:rsid w:val="00AA06C8"/>
    <w:rsid w:val="00AA176D"/>
    <w:rsid w:val="00AE0200"/>
    <w:rsid w:val="00AE2F6E"/>
    <w:rsid w:val="00AE6680"/>
    <w:rsid w:val="00B054AA"/>
    <w:rsid w:val="00B0641B"/>
    <w:rsid w:val="00B07396"/>
    <w:rsid w:val="00B07566"/>
    <w:rsid w:val="00B11B69"/>
    <w:rsid w:val="00B14BE9"/>
    <w:rsid w:val="00B20908"/>
    <w:rsid w:val="00B22D4F"/>
    <w:rsid w:val="00B33704"/>
    <w:rsid w:val="00B33ECC"/>
    <w:rsid w:val="00B4134C"/>
    <w:rsid w:val="00B56AB1"/>
    <w:rsid w:val="00B63BE6"/>
    <w:rsid w:val="00B643AB"/>
    <w:rsid w:val="00B71EB9"/>
    <w:rsid w:val="00B759B2"/>
    <w:rsid w:val="00B75E8B"/>
    <w:rsid w:val="00B84A42"/>
    <w:rsid w:val="00B85238"/>
    <w:rsid w:val="00B8544F"/>
    <w:rsid w:val="00B871C5"/>
    <w:rsid w:val="00B93BCD"/>
    <w:rsid w:val="00BA1376"/>
    <w:rsid w:val="00BA2E6A"/>
    <w:rsid w:val="00BC69C5"/>
    <w:rsid w:val="00BD785D"/>
    <w:rsid w:val="00BE0E3B"/>
    <w:rsid w:val="00BE34D9"/>
    <w:rsid w:val="00BE4D3C"/>
    <w:rsid w:val="00BF78D3"/>
    <w:rsid w:val="00C03C42"/>
    <w:rsid w:val="00C03F2C"/>
    <w:rsid w:val="00C054D4"/>
    <w:rsid w:val="00C05EC2"/>
    <w:rsid w:val="00C11D11"/>
    <w:rsid w:val="00C22451"/>
    <w:rsid w:val="00C3496A"/>
    <w:rsid w:val="00C36EE7"/>
    <w:rsid w:val="00C5347F"/>
    <w:rsid w:val="00C61505"/>
    <w:rsid w:val="00C61F78"/>
    <w:rsid w:val="00C6233C"/>
    <w:rsid w:val="00C72B91"/>
    <w:rsid w:val="00C73AD8"/>
    <w:rsid w:val="00C777D3"/>
    <w:rsid w:val="00C81607"/>
    <w:rsid w:val="00CA1A4B"/>
    <w:rsid w:val="00CA36E1"/>
    <w:rsid w:val="00CA4906"/>
    <w:rsid w:val="00CA7390"/>
    <w:rsid w:val="00CB1112"/>
    <w:rsid w:val="00CB786A"/>
    <w:rsid w:val="00CC230E"/>
    <w:rsid w:val="00CC38F0"/>
    <w:rsid w:val="00CD7071"/>
    <w:rsid w:val="00CF284D"/>
    <w:rsid w:val="00D100DF"/>
    <w:rsid w:val="00D2104E"/>
    <w:rsid w:val="00D22ED7"/>
    <w:rsid w:val="00D409CE"/>
    <w:rsid w:val="00D45BA4"/>
    <w:rsid w:val="00D5056B"/>
    <w:rsid w:val="00D56CA7"/>
    <w:rsid w:val="00D57DF1"/>
    <w:rsid w:val="00D614B9"/>
    <w:rsid w:val="00D67FFC"/>
    <w:rsid w:val="00D70577"/>
    <w:rsid w:val="00D71A20"/>
    <w:rsid w:val="00D756B0"/>
    <w:rsid w:val="00D76D38"/>
    <w:rsid w:val="00D8052A"/>
    <w:rsid w:val="00D95511"/>
    <w:rsid w:val="00D9786F"/>
    <w:rsid w:val="00DA609C"/>
    <w:rsid w:val="00DB56B2"/>
    <w:rsid w:val="00DC5365"/>
    <w:rsid w:val="00DE7F21"/>
    <w:rsid w:val="00DF28C5"/>
    <w:rsid w:val="00DF4E69"/>
    <w:rsid w:val="00E031BA"/>
    <w:rsid w:val="00E27629"/>
    <w:rsid w:val="00E60CCB"/>
    <w:rsid w:val="00E63A76"/>
    <w:rsid w:val="00E72929"/>
    <w:rsid w:val="00E952B2"/>
    <w:rsid w:val="00EB0A9A"/>
    <w:rsid w:val="00EB1EBE"/>
    <w:rsid w:val="00EC240F"/>
    <w:rsid w:val="00EC3273"/>
    <w:rsid w:val="00EC539E"/>
    <w:rsid w:val="00EC709B"/>
    <w:rsid w:val="00EE409B"/>
    <w:rsid w:val="00EE6F9E"/>
    <w:rsid w:val="00EF1038"/>
    <w:rsid w:val="00EF1945"/>
    <w:rsid w:val="00EF24F7"/>
    <w:rsid w:val="00EF2549"/>
    <w:rsid w:val="00EF5661"/>
    <w:rsid w:val="00F02339"/>
    <w:rsid w:val="00F13B1B"/>
    <w:rsid w:val="00F14829"/>
    <w:rsid w:val="00F3202A"/>
    <w:rsid w:val="00F40BAD"/>
    <w:rsid w:val="00F44F0E"/>
    <w:rsid w:val="00F51916"/>
    <w:rsid w:val="00F53F0D"/>
    <w:rsid w:val="00F66EB9"/>
    <w:rsid w:val="00F7100B"/>
    <w:rsid w:val="00F76374"/>
    <w:rsid w:val="00F77612"/>
    <w:rsid w:val="00F92690"/>
    <w:rsid w:val="00FA67DC"/>
    <w:rsid w:val="00FA6C4B"/>
    <w:rsid w:val="00FB1A16"/>
    <w:rsid w:val="00FB3134"/>
    <w:rsid w:val="00FC26C4"/>
    <w:rsid w:val="00FC354B"/>
    <w:rsid w:val="00FD11BB"/>
    <w:rsid w:val="00FF19AE"/>
    <w:rsid w:val="00FF58A3"/>
    <w:rsid w:val="09DC36EF"/>
    <w:rsid w:val="09F851FD"/>
    <w:rsid w:val="0DAECE41"/>
    <w:rsid w:val="0DFFEDD4"/>
    <w:rsid w:val="11F23CCB"/>
    <w:rsid w:val="159443D5"/>
    <w:rsid w:val="17EB7981"/>
    <w:rsid w:val="1AED44F9"/>
    <w:rsid w:val="1DEF5646"/>
    <w:rsid w:val="1EB5A6D8"/>
    <w:rsid w:val="1FC73C42"/>
    <w:rsid w:val="1FFFF276"/>
    <w:rsid w:val="23FF3FDB"/>
    <w:rsid w:val="27DF3911"/>
    <w:rsid w:val="2877C3DF"/>
    <w:rsid w:val="2D74CF66"/>
    <w:rsid w:val="2DDDB3F1"/>
    <w:rsid w:val="2F7F027E"/>
    <w:rsid w:val="2F7FC783"/>
    <w:rsid w:val="2FFD48E0"/>
    <w:rsid w:val="31F106E3"/>
    <w:rsid w:val="32FF5C04"/>
    <w:rsid w:val="365E2C04"/>
    <w:rsid w:val="37DCE831"/>
    <w:rsid w:val="37F5BEA5"/>
    <w:rsid w:val="3AFF7362"/>
    <w:rsid w:val="3CFFFEB0"/>
    <w:rsid w:val="3F762672"/>
    <w:rsid w:val="3FD9109F"/>
    <w:rsid w:val="3FDDCB2D"/>
    <w:rsid w:val="3FDEFE0C"/>
    <w:rsid w:val="3FE77D25"/>
    <w:rsid w:val="3FEE6005"/>
    <w:rsid w:val="3FF1CDA9"/>
    <w:rsid w:val="3FFF4518"/>
    <w:rsid w:val="41F7C657"/>
    <w:rsid w:val="467D4D95"/>
    <w:rsid w:val="4BFEB47F"/>
    <w:rsid w:val="4EED2CE4"/>
    <w:rsid w:val="4F1E0F1D"/>
    <w:rsid w:val="51001CD7"/>
    <w:rsid w:val="51EC03C0"/>
    <w:rsid w:val="52BFEF2E"/>
    <w:rsid w:val="53A8536D"/>
    <w:rsid w:val="53AA1A0F"/>
    <w:rsid w:val="53D6C603"/>
    <w:rsid w:val="55DCBC7C"/>
    <w:rsid w:val="55FE8E05"/>
    <w:rsid w:val="55FF46E0"/>
    <w:rsid w:val="56A883B4"/>
    <w:rsid w:val="56BB3C43"/>
    <w:rsid w:val="57EB3F66"/>
    <w:rsid w:val="5AFFCC9A"/>
    <w:rsid w:val="5B7E1AF9"/>
    <w:rsid w:val="5C33C3A4"/>
    <w:rsid w:val="5C95CC31"/>
    <w:rsid w:val="5CDD0353"/>
    <w:rsid w:val="5D1E15FD"/>
    <w:rsid w:val="5DAF7691"/>
    <w:rsid w:val="5DB2B899"/>
    <w:rsid w:val="5DDFEE6A"/>
    <w:rsid w:val="5EDF8C27"/>
    <w:rsid w:val="5F5F8B66"/>
    <w:rsid w:val="5F6A23A1"/>
    <w:rsid w:val="5F6BA6A7"/>
    <w:rsid w:val="5FBBDB85"/>
    <w:rsid w:val="5FCF3C2E"/>
    <w:rsid w:val="5FFA3C3B"/>
    <w:rsid w:val="5FFB7E01"/>
    <w:rsid w:val="5FFE1CF7"/>
    <w:rsid w:val="66FF7F75"/>
    <w:rsid w:val="66FFD371"/>
    <w:rsid w:val="67041122"/>
    <w:rsid w:val="675FA2AF"/>
    <w:rsid w:val="67B177E0"/>
    <w:rsid w:val="6BFF579F"/>
    <w:rsid w:val="6BFFBB6F"/>
    <w:rsid w:val="6DF5B488"/>
    <w:rsid w:val="6E5CF433"/>
    <w:rsid w:val="6EEF8805"/>
    <w:rsid w:val="6F6D1EB1"/>
    <w:rsid w:val="6F7F5A7D"/>
    <w:rsid w:val="6FB7B8EF"/>
    <w:rsid w:val="6FF3804F"/>
    <w:rsid w:val="6FF56B8D"/>
    <w:rsid w:val="6FFF8378"/>
    <w:rsid w:val="6FFF83B7"/>
    <w:rsid w:val="757E992D"/>
    <w:rsid w:val="75AF9CC6"/>
    <w:rsid w:val="765F9C4F"/>
    <w:rsid w:val="76DB1E44"/>
    <w:rsid w:val="779F4D68"/>
    <w:rsid w:val="77BF8D70"/>
    <w:rsid w:val="77DF880E"/>
    <w:rsid w:val="77F82734"/>
    <w:rsid w:val="77FB6460"/>
    <w:rsid w:val="77FF3B1A"/>
    <w:rsid w:val="78F7137B"/>
    <w:rsid w:val="7977E02C"/>
    <w:rsid w:val="797FA28D"/>
    <w:rsid w:val="7A7FEF37"/>
    <w:rsid w:val="7ABF942D"/>
    <w:rsid w:val="7AEF60DD"/>
    <w:rsid w:val="7AFEBD97"/>
    <w:rsid w:val="7B60FF09"/>
    <w:rsid w:val="7BBF0DAF"/>
    <w:rsid w:val="7BEF8C47"/>
    <w:rsid w:val="7BF7BF94"/>
    <w:rsid w:val="7C7FA295"/>
    <w:rsid w:val="7D9E50BA"/>
    <w:rsid w:val="7DB7045B"/>
    <w:rsid w:val="7DE93F9C"/>
    <w:rsid w:val="7DF17121"/>
    <w:rsid w:val="7DFD5655"/>
    <w:rsid w:val="7DFE78EC"/>
    <w:rsid w:val="7E37F3D6"/>
    <w:rsid w:val="7E39FFFA"/>
    <w:rsid w:val="7E7FB4B9"/>
    <w:rsid w:val="7EAEC788"/>
    <w:rsid w:val="7EC782B4"/>
    <w:rsid w:val="7EDBAE47"/>
    <w:rsid w:val="7EF7B864"/>
    <w:rsid w:val="7EF82784"/>
    <w:rsid w:val="7EFFFDD4"/>
    <w:rsid w:val="7F333CB8"/>
    <w:rsid w:val="7F5F81ED"/>
    <w:rsid w:val="7F6B7C82"/>
    <w:rsid w:val="7F6DF7A9"/>
    <w:rsid w:val="7F6F72BE"/>
    <w:rsid w:val="7F9D59D1"/>
    <w:rsid w:val="7FC6E189"/>
    <w:rsid w:val="7FCE05B2"/>
    <w:rsid w:val="7FDD6AC8"/>
    <w:rsid w:val="7FDE4803"/>
    <w:rsid w:val="7FDFA9DB"/>
    <w:rsid w:val="7FECF322"/>
    <w:rsid w:val="7FEF3A1D"/>
    <w:rsid w:val="7FF5E631"/>
    <w:rsid w:val="7FF7ADE6"/>
    <w:rsid w:val="7FFD11D4"/>
    <w:rsid w:val="7FFDC013"/>
    <w:rsid w:val="7FFE8271"/>
    <w:rsid w:val="7FFF35C6"/>
    <w:rsid w:val="7FFF6FD6"/>
    <w:rsid w:val="7FFFEEE3"/>
    <w:rsid w:val="8FD7EBD8"/>
    <w:rsid w:val="97DBFB4D"/>
    <w:rsid w:val="9B7E1454"/>
    <w:rsid w:val="9CF75EEF"/>
    <w:rsid w:val="9DB3326E"/>
    <w:rsid w:val="9DDDBAAC"/>
    <w:rsid w:val="9F7F28DD"/>
    <w:rsid w:val="9FF08880"/>
    <w:rsid w:val="9FFDE05F"/>
    <w:rsid w:val="A3FFD5E9"/>
    <w:rsid w:val="A77A98B5"/>
    <w:rsid w:val="A8F71A4C"/>
    <w:rsid w:val="ADDFB9CA"/>
    <w:rsid w:val="ADEB3F6F"/>
    <w:rsid w:val="AF2E256E"/>
    <w:rsid w:val="AFDFE679"/>
    <w:rsid w:val="AFE27237"/>
    <w:rsid w:val="B4DD9D74"/>
    <w:rsid w:val="B5FEFD8F"/>
    <w:rsid w:val="B6FF8224"/>
    <w:rsid w:val="B7FFAD50"/>
    <w:rsid w:val="B9DD9B16"/>
    <w:rsid w:val="BBCF4CD6"/>
    <w:rsid w:val="BBFAD09F"/>
    <w:rsid w:val="BCABFAE3"/>
    <w:rsid w:val="BDBF1006"/>
    <w:rsid w:val="BE6F2014"/>
    <w:rsid w:val="BF6CCC06"/>
    <w:rsid w:val="BF7BDBBD"/>
    <w:rsid w:val="BFA7A0DB"/>
    <w:rsid w:val="BFBF6602"/>
    <w:rsid w:val="BFCB3A3D"/>
    <w:rsid w:val="BFDF5853"/>
    <w:rsid w:val="BFFAF467"/>
    <w:rsid w:val="C4FBD699"/>
    <w:rsid w:val="C97F93A1"/>
    <w:rsid w:val="CB5FE1E9"/>
    <w:rsid w:val="CF5FF63C"/>
    <w:rsid w:val="CFEF3AA6"/>
    <w:rsid w:val="CFFFBFCD"/>
    <w:rsid w:val="D3FFFB2F"/>
    <w:rsid w:val="D6776372"/>
    <w:rsid w:val="D6F7B5AA"/>
    <w:rsid w:val="D77CFF4D"/>
    <w:rsid w:val="D7DB62A3"/>
    <w:rsid w:val="DAFED9A0"/>
    <w:rsid w:val="DC7A3814"/>
    <w:rsid w:val="DD0FA480"/>
    <w:rsid w:val="DDABBBCF"/>
    <w:rsid w:val="DDD72C75"/>
    <w:rsid w:val="DDFDB8F5"/>
    <w:rsid w:val="DE6F74D5"/>
    <w:rsid w:val="DEDF90CE"/>
    <w:rsid w:val="DF37AEB9"/>
    <w:rsid w:val="DF6FAEE2"/>
    <w:rsid w:val="DF9B7806"/>
    <w:rsid w:val="DFBD45ED"/>
    <w:rsid w:val="DFDF58B9"/>
    <w:rsid w:val="DFEDAE43"/>
    <w:rsid w:val="DFEE8290"/>
    <w:rsid w:val="DFF53BFA"/>
    <w:rsid w:val="DFFA5F28"/>
    <w:rsid w:val="E5674179"/>
    <w:rsid w:val="E5FFBD95"/>
    <w:rsid w:val="E6DF19FA"/>
    <w:rsid w:val="E6E76FF3"/>
    <w:rsid w:val="E6EF0477"/>
    <w:rsid w:val="E9B3FD42"/>
    <w:rsid w:val="EAB5EF3C"/>
    <w:rsid w:val="EAFB9F1D"/>
    <w:rsid w:val="EBE53945"/>
    <w:rsid w:val="EDDB5E35"/>
    <w:rsid w:val="EE19E69A"/>
    <w:rsid w:val="EEEF2BB9"/>
    <w:rsid w:val="EF3C05AB"/>
    <w:rsid w:val="EF7AA327"/>
    <w:rsid w:val="EF9FD979"/>
    <w:rsid w:val="EFEEE494"/>
    <w:rsid w:val="EFFFC193"/>
    <w:rsid w:val="F0FFE3D3"/>
    <w:rsid w:val="F137E219"/>
    <w:rsid w:val="F1E7EB47"/>
    <w:rsid w:val="F3FB7F9A"/>
    <w:rsid w:val="F4F30ED1"/>
    <w:rsid w:val="F56F8F86"/>
    <w:rsid w:val="F5FF9D2F"/>
    <w:rsid w:val="F66772FF"/>
    <w:rsid w:val="F6FD5218"/>
    <w:rsid w:val="F7573C70"/>
    <w:rsid w:val="F75F237B"/>
    <w:rsid w:val="F7AE99AC"/>
    <w:rsid w:val="F7BBDD40"/>
    <w:rsid w:val="F7D65B6D"/>
    <w:rsid w:val="F7DD9A09"/>
    <w:rsid w:val="F7ECC22F"/>
    <w:rsid w:val="F7FD82E1"/>
    <w:rsid w:val="F7FF462A"/>
    <w:rsid w:val="F7FF764E"/>
    <w:rsid w:val="F9FF4AD9"/>
    <w:rsid w:val="FA9F0955"/>
    <w:rsid w:val="FAD5468D"/>
    <w:rsid w:val="FAF7ED78"/>
    <w:rsid w:val="FB63094C"/>
    <w:rsid w:val="FB774A05"/>
    <w:rsid w:val="FB7A4B7B"/>
    <w:rsid w:val="FB97B2BA"/>
    <w:rsid w:val="FBF13DC0"/>
    <w:rsid w:val="FBF7704B"/>
    <w:rsid w:val="FBFF0EE3"/>
    <w:rsid w:val="FCAF5171"/>
    <w:rsid w:val="FD657EA2"/>
    <w:rsid w:val="FD73E04A"/>
    <w:rsid w:val="FDB5DA2B"/>
    <w:rsid w:val="FDBF990E"/>
    <w:rsid w:val="FDCF2A57"/>
    <w:rsid w:val="FDDF7C9F"/>
    <w:rsid w:val="FDF523BA"/>
    <w:rsid w:val="FDFB0142"/>
    <w:rsid w:val="FDFD9C69"/>
    <w:rsid w:val="FE63F9B0"/>
    <w:rsid w:val="FEEFABEC"/>
    <w:rsid w:val="FEF3D107"/>
    <w:rsid w:val="FEFE618D"/>
    <w:rsid w:val="FF5D9C4D"/>
    <w:rsid w:val="FF5F6A07"/>
    <w:rsid w:val="FF7F3088"/>
    <w:rsid w:val="FF916F8E"/>
    <w:rsid w:val="FFA08C70"/>
    <w:rsid w:val="FFBB4176"/>
    <w:rsid w:val="FFBBCD01"/>
    <w:rsid w:val="FFBC963F"/>
    <w:rsid w:val="FFCFF6D8"/>
    <w:rsid w:val="FFD56792"/>
    <w:rsid w:val="FFDBCD1B"/>
    <w:rsid w:val="FFEFDB87"/>
    <w:rsid w:val="FFF4933D"/>
    <w:rsid w:val="FFFEB32B"/>
    <w:rsid w:val="FFFF369E"/>
    <w:rsid w:val="FFFFC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76"/>
        <o:r id="V:Rule2" type="connector" idref="#_x0000_s2077"/>
        <o:r id="V:Rule3" type="connector" idref="#_x0000_s2078"/>
        <o:r id="V:Rule4" type="connector" idref="#_x0000_s2079"/>
        <o:r id="V:Rule5" type="connector" idref="#_x0000_s2080"/>
        <o:r id="V:Rule6" type="connector" idref="#_x0000_s2081"/>
        <o:r id="V:Rule7" type="connector" idref="#_x0000_s2082"/>
        <o:r id="V:Rule8" type="connector" idref="#_x0000_s2083"/>
        <o:r id="V:Rule9" type="connector" idref="#_x0000_s2084"/>
        <o:r id="V:Rule10" type="connector" idref="#_x0000_s2085"/>
        <o:r id="V:Rule11" type="connector" idref="#_x0000_s2086"/>
        <o:r id="V:Rule12" type="connector" idref="#_x0000_s2087"/>
        <o:r id="V:Rule13" type="connector" idref="#_x0000_s2088"/>
        <o:r id="V:Rule14" type="connector" idref="#_x0000_s2090"/>
        <o:r id="V:Rule15" type="connector" idref="#_x0000_s2091"/>
        <o:r id="V:Rule16" type="connector" idref="#_x0000_s2092"/>
        <o:r id="V:Rule17" type="connector" idref="#_x0000_s2093"/>
        <o:r id="V:Rule18" type="connector" idref="#_x0000_s2108"/>
        <o:r id="V:Rule19" type="connector" idref="#_x0000_s2109"/>
        <o:r id="V:Rule20" type="connector" idref="#_x0000_s2110"/>
        <o:r id="V:Rule21" type="connector" idref="#_x0000_s2111"/>
        <o:r id="V:Rule22" type="connector" idref="#_x0000_s2112"/>
        <o:r id="V:Rule23" type="connector" idref="#_x0000_s2113"/>
        <o:r id="V:Rule24" type="connector" idref="#_x0000_s2117"/>
        <o:r id="V:Rule25" type="connector" idref="#_x0000_s2118"/>
        <o:r id="V:Rule26" type="connector" idref="#_x0000_s211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4"/>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等线 Light" w:hAnsi="等线 Light" w:eastAsia="等线 Light"/>
      <w:b/>
      <w:bCs/>
      <w:kern w:val="0"/>
      <w:sz w:val="32"/>
      <w:szCs w:val="32"/>
    </w:rPr>
  </w:style>
  <w:style w:type="paragraph" w:styleId="4">
    <w:name w:val="heading 3"/>
    <w:basedOn w:val="1"/>
    <w:next w:val="1"/>
    <w:link w:val="57"/>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9"/>
    <w:pPr>
      <w:keepNext/>
      <w:keepLines/>
      <w:widowControl/>
      <w:spacing w:before="200" w:line="259" w:lineRule="auto"/>
      <w:ind w:left="864" w:hanging="864"/>
      <w:jc w:val="left"/>
      <w:outlineLvl w:val="3"/>
    </w:pPr>
    <w:rPr>
      <w:rFonts w:ascii="等线 Light" w:hAnsi="等线 Light" w:eastAsia="等线 Light"/>
      <w:b/>
      <w:bCs/>
      <w:i/>
      <w:iCs/>
      <w:color w:val="000000"/>
      <w:kern w:val="0"/>
      <w:sz w:val="22"/>
      <w:szCs w:val="20"/>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Document Map"/>
    <w:basedOn w:val="1"/>
    <w:link w:val="32"/>
    <w:unhideWhenUsed/>
    <w:qFormat/>
    <w:uiPriority w:val="99"/>
    <w:rPr>
      <w:rFonts w:ascii="宋体"/>
      <w:sz w:val="18"/>
      <w:szCs w:val="18"/>
    </w:rPr>
  </w:style>
  <w:style w:type="paragraph" w:styleId="8">
    <w:name w:val="annotation text"/>
    <w:basedOn w:val="1"/>
    <w:link w:val="62"/>
    <w:unhideWhenUsed/>
    <w:qFormat/>
    <w:uiPriority w:val="99"/>
    <w:pPr>
      <w:jc w:val="left"/>
    </w:pPr>
  </w:style>
  <w:style w:type="paragraph" w:styleId="9">
    <w:name w:val="Body Text"/>
    <w:basedOn w:val="1"/>
    <w:link w:val="31"/>
    <w:qFormat/>
    <w:uiPriority w:val="0"/>
    <w:rPr>
      <w:sz w:val="28"/>
    </w:rPr>
  </w:style>
  <w:style w:type="paragraph" w:styleId="10">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1">
    <w:name w:val="toc 3"/>
    <w:basedOn w:val="1"/>
    <w:next w:val="1"/>
    <w:unhideWhenUsed/>
    <w:qFormat/>
    <w:uiPriority w:val="39"/>
    <w:pPr>
      <w:ind w:left="840" w:leftChars="400"/>
    </w:pPr>
  </w:style>
  <w:style w:type="paragraph" w:styleId="12">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3">
    <w:name w:val="Date"/>
    <w:basedOn w:val="1"/>
    <w:next w:val="1"/>
    <w:link w:val="39"/>
    <w:unhideWhenUsed/>
    <w:qFormat/>
    <w:uiPriority w:val="99"/>
    <w:pPr>
      <w:ind w:left="100" w:leftChars="2500"/>
    </w:pPr>
  </w:style>
  <w:style w:type="paragraph" w:styleId="14">
    <w:name w:val="endnote text"/>
    <w:basedOn w:val="1"/>
    <w:link w:val="38"/>
    <w:unhideWhenUsed/>
    <w:qFormat/>
    <w:uiPriority w:val="99"/>
    <w:pPr>
      <w:adjustRightInd w:val="0"/>
      <w:snapToGrid w:val="0"/>
      <w:spacing w:line="500" w:lineRule="exact"/>
      <w:ind w:firstLine="200" w:firstLineChars="200"/>
      <w:jc w:val="left"/>
    </w:pPr>
    <w:rPr>
      <w:rFonts w:asciiTheme="minorHAnsi" w:hAnsiTheme="minorHAnsi" w:eastAsiaTheme="minorEastAsia" w:cstheme="minorBidi"/>
      <w:sz w:val="24"/>
      <w:szCs w:val="22"/>
    </w:rPr>
  </w:style>
  <w:style w:type="paragraph" w:styleId="15">
    <w:name w:val="Balloon Text"/>
    <w:basedOn w:val="1"/>
    <w:link w:val="56"/>
    <w:unhideWhenUsed/>
    <w:qFormat/>
    <w:uiPriority w:val="99"/>
    <w:rPr>
      <w:sz w:val="18"/>
      <w:szCs w:val="18"/>
    </w:rPr>
  </w:style>
  <w:style w:type="paragraph" w:styleId="16">
    <w:name w:val="footer"/>
    <w:basedOn w:val="1"/>
    <w:link w:val="34"/>
    <w:unhideWhenUsed/>
    <w:qFormat/>
    <w:uiPriority w:val="99"/>
    <w:pPr>
      <w:tabs>
        <w:tab w:val="center" w:pos="4153"/>
        <w:tab w:val="right" w:pos="8306"/>
      </w:tabs>
      <w:snapToGrid w:val="0"/>
      <w:jc w:val="left"/>
    </w:pPr>
    <w:rPr>
      <w:sz w:val="18"/>
      <w:szCs w:val="18"/>
    </w:rPr>
  </w:style>
  <w:style w:type="paragraph" w:styleId="17">
    <w:name w:val="header"/>
    <w:basedOn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0">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3">
    <w:name w:val="annotation subject"/>
    <w:basedOn w:val="8"/>
    <w:next w:val="8"/>
    <w:link w:val="63"/>
    <w:unhideWhenUsed/>
    <w:qFormat/>
    <w:uiPriority w:val="99"/>
    <w:rPr>
      <w:b/>
      <w:bCs/>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ndnote reference"/>
    <w:basedOn w:val="26"/>
    <w:unhideWhenUsed/>
    <w:qFormat/>
    <w:uiPriority w:val="99"/>
    <w:rPr>
      <w:vertAlign w:val="superscript"/>
    </w:rPr>
  </w:style>
  <w:style w:type="character" w:styleId="28">
    <w:name w:val="Emphasis"/>
    <w:basedOn w:val="26"/>
    <w:qFormat/>
    <w:uiPriority w:val="20"/>
    <w:rPr>
      <w:i/>
      <w:iCs/>
    </w:rPr>
  </w:style>
  <w:style w:type="character" w:styleId="29">
    <w:name w:val="Hyperlink"/>
    <w:basedOn w:val="26"/>
    <w:unhideWhenUsed/>
    <w:qFormat/>
    <w:uiPriority w:val="99"/>
    <w:rPr>
      <w:color w:val="0000FF" w:themeColor="hyperlink"/>
      <w:u w:val="single"/>
    </w:rPr>
  </w:style>
  <w:style w:type="character" w:styleId="30">
    <w:name w:val="annotation reference"/>
    <w:basedOn w:val="26"/>
    <w:unhideWhenUsed/>
    <w:qFormat/>
    <w:uiPriority w:val="99"/>
    <w:rPr>
      <w:sz w:val="21"/>
      <w:szCs w:val="21"/>
    </w:rPr>
  </w:style>
  <w:style w:type="character" w:customStyle="1" w:styleId="31">
    <w:name w:val="正文文本 Char"/>
    <w:basedOn w:val="26"/>
    <w:link w:val="9"/>
    <w:qFormat/>
    <w:uiPriority w:val="0"/>
    <w:rPr>
      <w:rFonts w:ascii="Times New Roman" w:hAnsi="Times New Roman" w:eastAsia="宋体" w:cs="Times New Roman"/>
      <w:sz w:val="28"/>
      <w:szCs w:val="20"/>
    </w:rPr>
  </w:style>
  <w:style w:type="character" w:customStyle="1" w:styleId="32">
    <w:name w:val="文档结构图 Char"/>
    <w:basedOn w:val="26"/>
    <w:link w:val="7"/>
    <w:semiHidden/>
    <w:qFormat/>
    <w:uiPriority w:val="99"/>
    <w:rPr>
      <w:rFonts w:ascii="宋体" w:hAnsi="Times New Roman" w:eastAsia="宋体" w:cs="Times New Roman"/>
      <w:sz w:val="18"/>
      <w:szCs w:val="18"/>
    </w:rPr>
  </w:style>
  <w:style w:type="character" w:customStyle="1" w:styleId="33">
    <w:name w:val="页眉 Char"/>
    <w:basedOn w:val="26"/>
    <w:link w:val="17"/>
    <w:qFormat/>
    <w:uiPriority w:val="0"/>
    <w:rPr>
      <w:rFonts w:ascii="Times New Roman" w:hAnsi="Times New Roman" w:eastAsia="宋体" w:cs="Times New Roman"/>
      <w:sz w:val="18"/>
      <w:szCs w:val="18"/>
    </w:rPr>
  </w:style>
  <w:style w:type="character" w:customStyle="1" w:styleId="34">
    <w:name w:val="页脚 Char"/>
    <w:basedOn w:val="26"/>
    <w:link w:val="16"/>
    <w:qFormat/>
    <w:uiPriority w:val="99"/>
    <w:rPr>
      <w:rFonts w:ascii="Times New Roman" w:hAnsi="Times New Roman" w:eastAsia="宋体" w:cs="Times New Roman"/>
      <w:sz w:val="18"/>
      <w:szCs w:val="18"/>
    </w:rPr>
  </w:style>
  <w:style w:type="paragraph" w:customStyle="1" w:styleId="35">
    <w:name w:val="列出段落1"/>
    <w:basedOn w:val="1"/>
    <w:qFormat/>
    <w:uiPriority w:val="34"/>
    <w:pPr>
      <w:ind w:firstLine="420" w:firstLineChars="200"/>
    </w:pPr>
  </w:style>
  <w:style w:type="paragraph" w:customStyle="1" w:styleId="36">
    <w:name w:val="文本框文字"/>
    <w:basedOn w:val="1"/>
    <w:link w:val="37"/>
    <w:qFormat/>
    <w:uiPriority w:val="0"/>
    <w:pPr>
      <w:adjustRightInd w:val="0"/>
      <w:snapToGrid w:val="0"/>
      <w:jc w:val="center"/>
    </w:pPr>
    <w:rPr>
      <w:rFonts w:asciiTheme="minorHAnsi" w:hAnsiTheme="minorHAnsi" w:eastAsiaTheme="minorEastAsia" w:cstheme="minorBidi"/>
      <w:szCs w:val="22"/>
    </w:rPr>
  </w:style>
  <w:style w:type="character" w:customStyle="1" w:styleId="37">
    <w:name w:val="文本框文字 Char"/>
    <w:basedOn w:val="26"/>
    <w:link w:val="36"/>
    <w:qFormat/>
    <w:uiPriority w:val="0"/>
  </w:style>
  <w:style w:type="character" w:customStyle="1" w:styleId="38">
    <w:name w:val="尾注文本 Char"/>
    <w:basedOn w:val="26"/>
    <w:link w:val="14"/>
    <w:semiHidden/>
    <w:qFormat/>
    <w:uiPriority w:val="99"/>
    <w:rPr>
      <w:sz w:val="24"/>
    </w:rPr>
  </w:style>
  <w:style w:type="character" w:customStyle="1" w:styleId="39">
    <w:name w:val="日期 Char"/>
    <w:basedOn w:val="26"/>
    <w:link w:val="13"/>
    <w:semiHidden/>
    <w:qFormat/>
    <w:uiPriority w:val="99"/>
    <w:rPr>
      <w:rFonts w:ascii="Times New Roman" w:hAnsi="Times New Roman" w:eastAsia="宋体" w:cs="Times New Roman"/>
      <w:szCs w:val="20"/>
    </w:rPr>
  </w:style>
  <w:style w:type="paragraph" w:customStyle="1" w:styleId="40">
    <w:name w:val="段"/>
    <w:link w:val="4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1">
    <w:name w:val="段 Char"/>
    <w:link w:val="40"/>
    <w:qFormat/>
    <w:uiPriority w:val="0"/>
    <w:rPr>
      <w:rFonts w:ascii="宋体" w:hAnsi="Times New Roman" w:eastAsia="宋体" w:cs="Times New Roman"/>
      <w:kern w:val="0"/>
      <w:szCs w:val="20"/>
    </w:rPr>
  </w:style>
  <w:style w:type="paragraph" w:customStyle="1" w:styleId="42">
    <w:name w:val="前言、引言标题"/>
    <w:next w:val="40"/>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character" w:customStyle="1" w:styleId="44">
    <w:name w:val="发布"/>
    <w:qFormat/>
    <w:uiPriority w:val="0"/>
    <w:rPr>
      <w:rFonts w:ascii="黑体" w:eastAsia="黑体"/>
      <w:spacing w:val="85"/>
      <w:w w:val="100"/>
      <w:position w:val="3"/>
      <w:sz w:val="28"/>
      <w:szCs w:val="28"/>
    </w:rPr>
  </w:style>
  <w:style w:type="paragraph" w:customStyle="1" w:styleId="45">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46">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7">
    <w:name w:val="封面标准英文名称"/>
    <w:basedOn w:val="46"/>
    <w:qFormat/>
    <w:uiPriority w:val="0"/>
    <w:pPr>
      <w:spacing w:before="370" w:line="400" w:lineRule="exact"/>
    </w:pPr>
    <w:rPr>
      <w:rFonts w:ascii="Times New Roman"/>
      <w:sz w:val="28"/>
      <w:szCs w:val="28"/>
    </w:rPr>
  </w:style>
  <w:style w:type="paragraph" w:customStyle="1" w:styleId="48">
    <w:name w:val="封面标准文稿类别"/>
    <w:basedOn w:val="1"/>
    <w:qFormat/>
    <w:uiPriority w:val="0"/>
    <w:pPr>
      <w:framePr w:w="9639" w:h="6917" w:hRule="exact" w:wrap="around" w:vAnchor="page" w:hAnchor="page" w:xAlign="center" w:y="6408" w:anchorLock="1"/>
      <w:spacing w:before="440" w:after="160"/>
      <w:jc w:val="center"/>
      <w:textAlignment w:val="center"/>
    </w:pPr>
    <w:rPr>
      <w:rFonts w:ascii="宋体"/>
      <w:kern w:val="0"/>
      <w:sz w:val="24"/>
      <w:szCs w:val="28"/>
    </w:rPr>
  </w:style>
  <w:style w:type="paragraph" w:customStyle="1" w:styleId="49">
    <w:name w:val="封面标准文稿编辑信息"/>
    <w:basedOn w:val="48"/>
    <w:qFormat/>
    <w:uiPriority w:val="0"/>
    <w:pPr>
      <w:spacing w:before="180" w:line="180" w:lineRule="exact"/>
    </w:pPr>
    <w:rPr>
      <w:sz w:val="21"/>
    </w:rPr>
  </w:style>
  <w:style w:type="paragraph" w:customStyle="1" w:styleId="50">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51">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eastAsia="黑体"/>
      <w:spacing w:val="20"/>
      <w:w w:val="135"/>
      <w:kern w:val="0"/>
      <w:sz w:val="28"/>
    </w:rPr>
  </w:style>
  <w:style w:type="paragraph" w:customStyle="1" w:styleId="52">
    <w:name w:val="其他发布日期"/>
    <w:basedOn w:val="1"/>
    <w:qFormat/>
    <w:uiPriority w:val="0"/>
    <w:pPr>
      <w:framePr w:w="3997" w:h="471" w:hRule="exact" w:vSpace="181" w:wrap="around" w:vAnchor="page" w:hAnchor="page" w:x="1419" w:y="14097" w:anchorLock="1"/>
      <w:widowControl/>
      <w:jc w:val="left"/>
    </w:pPr>
    <w:rPr>
      <w:rFonts w:eastAsia="黑体"/>
      <w:kern w:val="0"/>
      <w:sz w:val="28"/>
    </w:rPr>
  </w:style>
  <w:style w:type="paragraph" w:customStyle="1" w:styleId="53">
    <w:name w:val="其他实施日期"/>
    <w:basedOn w:val="1"/>
    <w:qFormat/>
    <w:uiPriority w:val="0"/>
    <w:pPr>
      <w:framePr w:w="3997" w:h="471" w:hRule="exact" w:vSpace="181" w:wrap="around" w:vAnchor="page" w:hAnchor="page" w:x="7089" w:y="14097" w:anchorLock="1"/>
      <w:widowControl/>
      <w:jc w:val="right"/>
    </w:pPr>
    <w:rPr>
      <w:rFonts w:eastAsia="黑体"/>
      <w:kern w:val="0"/>
      <w:sz w:val="28"/>
    </w:rPr>
  </w:style>
  <w:style w:type="character" w:customStyle="1" w:styleId="54">
    <w:name w:val="标题 1 Char"/>
    <w:basedOn w:val="26"/>
    <w:link w:val="2"/>
    <w:qFormat/>
    <w:uiPriority w:val="9"/>
    <w:rPr>
      <w:rFonts w:ascii="Times New Roman" w:hAnsi="Times New Roman" w:eastAsia="宋体" w:cs="Times New Roman"/>
      <w:b/>
      <w:bCs/>
      <w:kern w:val="44"/>
      <w:sz w:val="44"/>
      <w:szCs w:val="44"/>
    </w:rPr>
  </w:style>
  <w:style w:type="paragraph" w:customStyle="1" w:styleId="55">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56">
    <w:name w:val="批注框文本 Char"/>
    <w:basedOn w:val="26"/>
    <w:link w:val="15"/>
    <w:semiHidden/>
    <w:qFormat/>
    <w:uiPriority w:val="99"/>
    <w:rPr>
      <w:rFonts w:ascii="Times New Roman" w:hAnsi="Times New Roman" w:eastAsia="宋体" w:cs="Times New Roman"/>
      <w:sz w:val="18"/>
      <w:szCs w:val="18"/>
    </w:rPr>
  </w:style>
  <w:style w:type="character" w:customStyle="1" w:styleId="57">
    <w:name w:val="标题 3 Char"/>
    <w:basedOn w:val="26"/>
    <w:link w:val="4"/>
    <w:qFormat/>
    <w:uiPriority w:val="0"/>
    <w:rPr>
      <w:rFonts w:ascii="Times New Roman" w:hAnsi="Times New Roman" w:eastAsia="宋体" w:cs="Times New Roman"/>
      <w:b/>
      <w:bCs/>
      <w:sz w:val="32"/>
      <w:szCs w:val="32"/>
    </w:rPr>
  </w:style>
  <w:style w:type="paragraph" w:customStyle="1" w:styleId="58">
    <w:name w:val="二级条标题"/>
    <w:basedOn w:val="59"/>
    <w:next w:val="40"/>
    <w:qFormat/>
    <w:uiPriority w:val="0"/>
    <w:pPr>
      <w:widowControl/>
      <w:spacing w:beforeLines="50" w:afterLines="50"/>
      <w:jc w:val="left"/>
      <w:outlineLvl w:val="3"/>
    </w:pPr>
    <w:rPr>
      <w:rFonts w:ascii="黑体" w:eastAsia="黑体"/>
      <w:kern w:val="0"/>
      <w:szCs w:val="21"/>
    </w:rPr>
  </w:style>
  <w:style w:type="paragraph" w:customStyle="1" w:styleId="59">
    <w:name w:val="一级条标题"/>
    <w:next w:val="40"/>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60">
    <w:name w:val="图片附近文字"/>
    <w:basedOn w:val="1"/>
    <w:link w:val="61"/>
    <w:qFormat/>
    <w:uiPriority w:val="0"/>
    <w:pPr>
      <w:adjustRightInd w:val="0"/>
      <w:snapToGrid w:val="0"/>
    </w:pPr>
    <w:rPr>
      <w:rFonts w:asciiTheme="minorHAnsi" w:hAnsiTheme="minorHAnsi" w:eastAsiaTheme="minorEastAsia" w:cstheme="minorBidi"/>
      <w:sz w:val="24"/>
      <w:szCs w:val="22"/>
    </w:rPr>
  </w:style>
  <w:style w:type="character" w:customStyle="1" w:styleId="61">
    <w:name w:val="图片附近文字 Char"/>
    <w:basedOn w:val="26"/>
    <w:link w:val="60"/>
    <w:qFormat/>
    <w:uiPriority w:val="0"/>
    <w:rPr>
      <w:sz w:val="24"/>
    </w:rPr>
  </w:style>
  <w:style w:type="character" w:customStyle="1" w:styleId="62">
    <w:name w:val="批注文字 Char"/>
    <w:basedOn w:val="26"/>
    <w:link w:val="8"/>
    <w:semiHidden/>
    <w:qFormat/>
    <w:uiPriority w:val="99"/>
    <w:rPr>
      <w:rFonts w:ascii="Times New Roman" w:hAnsi="Times New Roman" w:eastAsia="宋体" w:cs="Times New Roman"/>
      <w:szCs w:val="20"/>
    </w:rPr>
  </w:style>
  <w:style w:type="character" w:customStyle="1" w:styleId="63">
    <w:name w:val="批注主题 Char"/>
    <w:basedOn w:val="62"/>
    <w:link w:val="23"/>
    <w:semiHidden/>
    <w:qFormat/>
    <w:uiPriority w:val="99"/>
    <w:rPr>
      <w:rFonts w:ascii="Times New Roman" w:hAnsi="Times New Roman" w:eastAsia="宋体" w:cs="Times New Roman"/>
      <w:b/>
      <w:bCs/>
      <w:szCs w:val="20"/>
    </w:rPr>
  </w:style>
  <w:style w:type="paragraph" w:customStyle="1" w:styleId="64">
    <w:name w:val="标准文件_段"/>
    <w:link w:val="67"/>
    <w:qFormat/>
    <w:uiPriority w:val="0"/>
    <w:pPr>
      <w:widowControl w:val="0"/>
      <w:ind w:firstLine="198" w:firstLineChars="200"/>
      <w:jc w:val="both"/>
    </w:pPr>
    <w:rPr>
      <w:rFonts w:ascii="宋体" w:hAnsi="宋体" w:eastAsia="宋体" w:cs="Times New Roman"/>
      <w:kern w:val="2"/>
      <w:sz w:val="21"/>
      <w:lang w:val="en-US" w:eastAsia="zh-CN" w:bidi="ar-SA"/>
    </w:rPr>
  </w:style>
  <w:style w:type="paragraph" w:customStyle="1" w:styleId="65">
    <w:name w:val="标准文件_参考文献标题"/>
    <w:basedOn w:val="1"/>
    <w:next w:val="1"/>
    <w:link w:val="68"/>
    <w:qFormat/>
    <w:uiPriority w:val="0"/>
    <w:pPr>
      <w:widowControl/>
      <w:shd w:val="clear" w:color="FFFFFF" w:fill="FFFFFF"/>
      <w:spacing w:beforeLines="40" w:afterLines="50"/>
      <w:jc w:val="center"/>
      <w:outlineLvl w:val="0"/>
    </w:pPr>
    <w:rPr>
      <w:rFonts w:ascii="黑体" w:eastAsia="黑体"/>
      <w:kern w:val="0"/>
    </w:rPr>
  </w:style>
  <w:style w:type="paragraph" w:customStyle="1" w:styleId="66">
    <w:name w:val="标准文件_章标题"/>
    <w:next w:val="64"/>
    <w:qFormat/>
    <w:uiPriority w:val="0"/>
    <w:pPr>
      <w:numPr>
        <w:ilvl w:val="1"/>
        <w:numId w:val="1"/>
      </w:numPr>
      <w:spacing w:beforeLines="100" w:afterLines="100"/>
      <w:jc w:val="both"/>
      <w:outlineLvl w:val="0"/>
    </w:pPr>
    <w:rPr>
      <w:rFonts w:ascii="黑体" w:hAnsi="Times New Roman" w:eastAsia="黑体" w:cs="Times New Roman"/>
      <w:sz w:val="21"/>
      <w:lang w:val="en-US" w:eastAsia="zh-CN" w:bidi="ar-SA"/>
    </w:rPr>
  </w:style>
  <w:style w:type="character" w:customStyle="1" w:styleId="67">
    <w:name w:val="标准文件_段 Char"/>
    <w:link w:val="64"/>
    <w:qFormat/>
    <w:uiPriority w:val="0"/>
    <w:rPr>
      <w:rFonts w:ascii="宋体" w:hAnsi="宋体" w:eastAsia="宋体" w:cs="Times New Roman"/>
      <w:kern w:val="2"/>
      <w:sz w:val="21"/>
      <w:szCs w:val="20"/>
      <w:lang w:val="en-US" w:eastAsia="zh-CN" w:bidi="ar-SA"/>
    </w:rPr>
  </w:style>
  <w:style w:type="character" w:customStyle="1" w:styleId="68">
    <w:name w:val="标准文件_参考文献标题 Char"/>
    <w:link w:val="65"/>
    <w:qFormat/>
    <w:uiPriority w:val="0"/>
    <w:rPr>
      <w:rFonts w:ascii="黑体" w:eastAsia="黑体"/>
      <w:kern w:val="0"/>
    </w:rPr>
  </w:style>
  <w:style w:type="paragraph" w:customStyle="1" w:styleId="69">
    <w:name w:val="标准文件_一级条标题"/>
    <w:basedOn w:val="66"/>
    <w:next w:val="64"/>
    <w:qFormat/>
    <w:uiPriority w:val="0"/>
    <w:pPr>
      <w:numPr>
        <w:ilvl w:val="2"/>
      </w:numPr>
      <w:spacing w:beforeLines="50" w:afterLines="50"/>
      <w:outlineLvl w:val="1"/>
    </w:pPr>
  </w:style>
  <w:style w:type="paragraph" w:styleId="70">
    <w:name w:val="List Paragraph"/>
    <w:basedOn w:val="1"/>
    <w:unhideWhenUsed/>
    <w:qFormat/>
    <w:uiPriority w:val="99"/>
    <w:pPr>
      <w:ind w:firstLine="420" w:firstLineChars="200"/>
    </w:pPr>
  </w:style>
  <w:style w:type="paragraph" w:customStyle="1" w:styleId="71">
    <w:name w:val="标准文件_二级条标题"/>
    <w:next w:val="64"/>
    <w:qFormat/>
    <w:uiPriority w:val="0"/>
    <w:pPr>
      <w:widowControl w:val="0"/>
      <w:numPr>
        <w:ilvl w:val="3"/>
        <w:numId w:val="2"/>
      </w:numPr>
      <w:jc w:val="both"/>
      <w:outlineLvl w:val="2"/>
    </w:pPr>
    <w:rPr>
      <w:rFonts w:ascii="黑体" w:hAnsi="Times New Roman" w:eastAsia="黑体" w:cs="Times New Roman"/>
      <w:kern w:val="0"/>
      <w:sz w:val="21"/>
      <w:szCs w:val="20"/>
      <w:lang w:val="en-US" w:eastAsia="zh-CN" w:bidi="ar-SA"/>
    </w:rPr>
  </w:style>
  <w:style w:type="paragraph" w:customStyle="1" w:styleId="72">
    <w:name w:val="标准文件_字母编号列项"/>
    <w:qFormat/>
    <w:uiPriority w:val="0"/>
    <w:pPr>
      <w:jc w:val="both"/>
    </w:pPr>
    <w:rPr>
      <w:rFonts w:ascii="宋体" w:hAnsi="宋体"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0.emf"/><Relationship Id="rId47" Type="http://schemas.openxmlformats.org/officeDocument/2006/relationships/oleObject" Target="embeddings/oleObject3.bin"/><Relationship Id="rId46" Type="http://schemas.openxmlformats.org/officeDocument/2006/relationships/image" Target="media/image39.emf"/><Relationship Id="rId45" Type="http://schemas.openxmlformats.org/officeDocument/2006/relationships/oleObject" Target="embeddings/oleObject2.bin"/><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1"/>
    <customShpInfo spid="_x0000_s2052"/>
    <customShpInfo spid="_x0000_s2053"/>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54"/>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0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1912</Words>
  <Characters>10904</Characters>
  <Lines>90</Lines>
  <Paragraphs>25</Paragraphs>
  <TotalTime>3</TotalTime>
  <ScaleCrop>false</ScaleCrop>
  <LinksUpToDate>false</LinksUpToDate>
  <CharactersWithSpaces>12791</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2020-04-19T10:49:00Z</dcterms:created>
  <dc:creator>caiyf</dc:creator>
  <cp:lastModifiedBy>lilina</cp:lastModifiedBy>
  <cp:lastPrinted>2021-03-25T01:35:00Z</cp:lastPrinted>
  <dcterms:modified xsi:type="dcterms:W3CDTF">2021-04-08T11:05:23Z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ies>
</file>